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82" w:rsidRDefault="00CC131F" w:rsidP="00CC131F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szCs w:val="28"/>
        </w:rPr>
      </w:pPr>
      <w:bookmarkStart w:id="0" w:name="_GoBack"/>
      <w:bookmarkEnd w:id="0"/>
      <w:r w:rsidRPr="00966B74">
        <w:rPr>
          <w:rFonts w:asciiTheme="minorHAnsi" w:hAnsiTheme="minorHAnsi" w:cstheme="minorHAnsi"/>
          <w:b/>
          <w:bCs/>
          <w:szCs w:val="28"/>
        </w:rPr>
        <w:t>Collaborative Practice Agreement</w:t>
      </w:r>
      <w:r>
        <w:rPr>
          <w:rFonts w:asciiTheme="minorHAnsi" w:hAnsiTheme="minorHAnsi" w:cstheme="minorHAnsi"/>
          <w:b/>
          <w:bCs/>
          <w:szCs w:val="28"/>
        </w:rPr>
        <w:t xml:space="preserve">: </w:t>
      </w:r>
      <w:r>
        <w:rPr>
          <w:rFonts w:asciiTheme="minorHAnsi" w:hAnsiTheme="minorHAnsi" w:cstheme="minorHAnsi"/>
          <w:b/>
          <w:bCs/>
          <w:szCs w:val="28"/>
        </w:rPr>
        <w:br/>
        <w:t xml:space="preserve">Physician Referral for </w:t>
      </w:r>
      <w:r w:rsidR="00D97C82">
        <w:rPr>
          <w:rFonts w:asciiTheme="minorHAnsi" w:hAnsiTheme="minorHAnsi" w:cstheme="minorHAnsi"/>
          <w:b/>
          <w:bCs/>
          <w:szCs w:val="28"/>
        </w:rPr>
        <w:t xml:space="preserve">Hypertension Focused </w:t>
      </w:r>
    </w:p>
    <w:p w:rsidR="00CC131F" w:rsidRPr="00966B74" w:rsidRDefault="00CC131F" w:rsidP="00CC131F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Comprehensive Medication Review and Assessment</w:t>
      </w:r>
      <w:r w:rsidR="00D97C82">
        <w:rPr>
          <w:rFonts w:asciiTheme="minorHAnsi" w:hAnsiTheme="minorHAnsi" w:cstheme="minorHAnsi"/>
          <w:b/>
          <w:bCs/>
          <w:szCs w:val="28"/>
        </w:rPr>
        <w:t xml:space="preserve"> (CMR/A)</w:t>
      </w:r>
    </w:p>
    <w:p w:rsidR="00CC131F" w:rsidRPr="00966B74" w:rsidRDefault="00CC131F" w:rsidP="00CC131F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:rsidR="00CC131F" w:rsidRPr="00966B74" w:rsidRDefault="00CC131F" w:rsidP="00CC131F">
      <w:pPr>
        <w:pStyle w:val="BasicParagraph"/>
        <w:suppressAutoHyphens/>
        <w:rPr>
          <w:rFonts w:asciiTheme="minorHAnsi" w:hAnsiTheme="minorHAnsi" w:cstheme="minorHAnsi"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t>Introduction:</w:t>
      </w:r>
    </w:p>
    <w:p w:rsidR="00CC131F" w:rsidRPr="002E0EC9" w:rsidRDefault="000D5EE9" w:rsidP="00CC131F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Hypertension</w:t>
      </w:r>
      <w:r w:rsidR="00CC131F">
        <w:rPr>
          <w:rFonts w:asciiTheme="minorHAnsi" w:hAnsiTheme="minorHAnsi" w:cstheme="minorHAnsi"/>
        </w:rPr>
        <w:t xml:space="preserve"> is a complex medical condition which often requires close monitoring, medication management, drug dose titration, and patient/caregiver education</w:t>
      </w:r>
      <w:r>
        <w:rPr>
          <w:rFonts w:asciiTheme="minorHAnsi" w:hAnsiTheme="minorHAnsi" w:cstheme="minorHAnsi"/>
        </w:rPr>
        <w:t xml:space="preserve"> to meet blood pressure goals</w:t>
      </w:r>
      <w:r w:rsidR="00CC131F">
        <w:rPr>
          <w:rFonts w:asciiTheme="minorHAnsi" w:hAnsiTheme="minorHAnsi" w:cstheme="minorHAnsi"/>
        </w:rPr>
        <w:t xml:space="preserve">. The </w:t>
      </w:r>
      <w:r>
        <w:rPr>
          <w:rFonts w:asciiTheme="minorHAnsi" w:hAnsiTheme="minorHAnsi" w:cstheme="minorHAnsi"/>
        </w:rPr>
        <w:t>Million Hearts® campaign is a national initiative launched by the Department of Health and Human Services in September 2011 to prevent 1 million heart attacks and strokes by 2017</w:t>
      </w:r>
      <w:r w:rsidR="00CC131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 achieve this goal the initiative looks to engage providers, patients, and other stakeholders to implement evidence-based policies and strategies to excel in areas of clinical prevention</w:t>
      </w:r>
      <w:r w:rsidR="008171FE">
        <w:rPr>
          <w:rFonts w:asciiTheme="minorHAnsi" w:hAnsiTheme="minorHAnsi" w:cstheme="minorHAnsi"/>
        </w:rPr>
        <w:t>, one particular strategy is blood pressure control.</w:t>
      </w:r>
      <w:r w:rsidR="00CC131F">
        <w:rPr>
          <w:rFonts w:asciiTheme="minorHAnsi" w:hAnsiTheme="minorHAnsi" w:cstheme="minorHAnsi"/>
          <w:vertAlign w:val="superscript"/>
        </w:rPr>
        <w:t>1</w:t>
      </w:r>
      <w:r w:rsidR="00CC131F">
        <w:rPr>
          <w:rFonts w:asciiTheme="minorHAnsi" w:hAnsiTheme="minorHAnsi" w:cstheme="minorHAnsi"/>
        </w:rPr>
        <w:t xml:space="preserve"> </w:t>
      </w:r>
      <w:r w:rsidR="008171FE">
        <w:rPr>
          <w:rFonts w:asciiTheme="minorHAnsi" w:hAnsiTheme="minorHAnsi" w:cstheme="minorHAnsi"/>
        </w:rPr>
        <w:t>The Million Hearts® campaign</w:t>
      </w:r>
      <w:r w:rsidR="008171FE" w:rsidRPr="00816534">
        <w:rPr>
          <w:rFonts w:asciiTheme="minorHAnsi" w:hAnsiTheme="minorHAnsi" w:cstheme="minorHAnsi"/>
          <w:b/>
        </w:rPr>
        <w:t xml:space="preserve"> </w:t>
      </w:r>
      <w:r w:rsidR="003A5630">
        <w:rPr>
          <w:rFonts w:asciiTheme="minorHAnsi" w:hAnsiTheme="minorHAnsi" w:cstheme="minorHAnsi"/>
        </w:rPr>
        <w:t xml:space="preserve">has a specific interest in establishing patient-pharmacist relationships and has sponsored a nationwide program </w:t>
      </w:r>
      <w:r w:rsidR="00D97C82">
        <w:rPr>
          <w:rFonts w:asciiTheme="minorHAnsi" w:hAnsiTheme="minorHAnsi" w:cstheme="minorHAnsi"/>
        </w:rPr>
        <w:t xml:space="preserve">that focuses on building and fostering this relationship </w:t>
      </w:r>
      <w:r w:rsidR="003A5630">
        <w:rPr>
          <w:rFonts w:asciiTheme="minorHAnsi" w:hAnsiTheme="minorHAnsi" w:cstheme="minorHAnsi"/>
        </w:rPr>
        <w:t xml:space="preserve">titled </w:t>
      </w:r>
      <w:r w:rsidR="003A5630" w:rsidRPr="00D97C82">
        <w:rPr>
          <w:rFonts w:asciiTheme="minorHAnsi" w:hAnsiTheme="minorHAnsi" w:cstheme="minorHAnsi"/>
          <w:i/>
        </w:rPr>
        <w:t>Team Up. Pressure Down.</w:t>
      </w:r>
      <w:r w:rsidR="003A5630" w:rsidRPr="003A5630">
        <w:rPr>
          <w:rFonts w:asciiTheme="minorHAnsi" w:hAnsiTheme="minorHAnsi" w:cstheme="minorHAnsi"/>
          <w:vertAlign w:val="superscript"/>
        </w:rPr>
        <w:t>2</w:t>
      </w:r>
      <w:r w:rsidR="003A5630">
        <w:rPr>
          <w:rFonts w:asciiTheme="minorHAnsi" w:hAnsiTheme="minorHAnsi" w:cstheme="minorHAnsi"/>
        </w:rPr>
        <w:t xml:space="preserve"> </w:t>
      </w:r>
      <w:r w:rsidR="00CC131F" w:rsidRPr="00816534">
        <w:rPr>
          <w:rFonts w:asciiTheme="minorHAnsi" w:hAnsiTheme="minorHAnsi" w:cstheme="minorHAnsi"/>
          <w:b/>
        </w:rPr>
        <w:t>[Insert Name of Pharmacy]</w:t>
      </w:r>
      <w:r w:rsidR="00CC131F">
        <w:rPr>
          <w:rFonts w:asciiTheme="minorHAnsi" w:hAnsiTheme="minorHAnsi" w:cstheme="minorHAnsi"/>
        </w:rPr>
        <w:t xml:space="preserve"> is part of the Wisconsin Pharmacy Quality Collaborative</w:t>
      </w:r>
      <w:r w:rsidR="003A5630">
        <w:rPr>
          <w:rFonts w:asciiTheme="minorHAnsi" w:hAnsiTheme="minorHAnsi" w:cstheme="minorHAnsi"/>
          <w:vertAlign w:val="superscript"/>
        </w:rPr>
        <w:t>3</w:t>
      </w:r>
      <w:r w:rsidR="00CC131F">
        <w:rPr>
          <w:rFonts w:asciiTheme="minorHAnsi" w:hAnsiTheme="minorHAnsi" w:cstheme="minorHAnsi"/>
        </w:rPr>
        <w:t xml:space="preserve"> which is committed to improving health outcomes and reducing health care costs by aligning with evidence-based guidelines. Participating pharmacies and their pharmacists must adhere to a set of quality standards</w:t>
      </w:r>
      <w:r w:rsidR="003A5630">
        <w:rPr>
          <w:rFonts w:asciiTheme="minorHAnsi" w:hAnsiTheme="minorHAnsi" w:cstheme="minorHAnsi"/>
          <w:vertAlign w:val="superscript"/>
        </w:rPr>
        <w:t>4</w:t>
      </w:r>
      <w:r w:rsidR="00CC131F">
        <w:rPr>
          <w:rFonts w:asciiTheme="minorHAnsi" w:hAnsiTheme="minorHAnsi" w:cstheme="minorHAnsi"/>
        </w:rPr>
        <w:t xml:space="preserve"> designed to increase the quality of pharmacy services provided and maximize patient safety in the medication use process. </w:t>
      </w:r>
      <w:r w:rsidR="00CC131F" w:rsidRPr="00816534">
        <w:rPr>
          <w:rFonts w:asciiTheme="minorHAnsi" w:hAnsiTheme="minorHAnsi" w:cstheme="minorHAnsi"/>
          <w:b/>
        </w:rPr>
        <w:t>[Insert Name of Pharmacy]</w:t>
      </w:r>
      <w:r w:rsidR="00CC131F">
        <w:rPr>
          <w:rFonts w:asciiTheme="minorHAnsi" w:hAnsiTheme="minorHAnsi" w:cstheme="minorHAnsi"/>
        </w:rPr>
        <w:t xml:space="preserve"> routinely provides Medication Therapy Management (MTM) services and is interested in entering into this CPA.</w:t>
      </w:r>
      <w:r w:rsidR="00EB3B79">
        <w:rPr>
          <w:rFonts w:asciiTheme="minorHAnsi" w:hAnsiTheme="minorHAnsi" w:cstheme="minorHAnsi"/>
        </w:rPr>
        <w:t xml:space="preserve"> </w:t>
      </w:r>
    </w:p>
    <w:p w:rsidR="00CC131F" w:rsidRDefault="00CC131F" w:rsidP="00CC131F">
      <w:pPr>
        <w:pStyle w:val="BodyText2"/>
        <w:autoSpaceDE/>
        <w:autoSpaceDN/>
        <w:adjustRightInd/>
        <w:spacing w:after="120"/>
        <w:ind w:right="0"/>
        <w:rPr>
          <w:rFonts w:asciiTheme="minorHAnsi" w:hAnsiTheme="minorHAnsi" w:cstheme="minorHAnsi"/>
          <w:b/>
          <w:bCs/>
        </w:rPr>
      </w:pPr>
    </w:p>
    <w:p w:rsidR="00CC131F" w:rsidRDefault="00CC131F" w:rsidP="00CC131F">
      <w:pPr>
        <w:pStyle w:val="BodyText2"/>
        <w:autoSpaceDE/>
        <w:autoSpaceDN/>
        <w:adjustRightInd/>
        <w:spacing w:after="12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Purpose</w:t>
      </w:r>
    </w:p>
    <w:p w:rsidR="00CC131F" w:rsidRPr="00DB3BDD" w:rsidRDefault="00CC131F" w:rsidP="00CC131F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  <w:shd w:val="clear" w:color="auto" w:fill="FFFFAA"/>
        </w:rPr>
      </w:pPr>
      <w:r w:rsidRPr="00DB3BDD">
        <w:rPr>
          <w:rFonts w:asciiTheme="minorHAnsi" w:hAnsiTheme="minorHAnsi" w:cstheme="minorHAnsi"/>
        </w:rPr>
        <w:t xml:space="preserve">Wisconsin state law allows pharmacists to practice under a Collaborative Practice Agreement with individual physicians (Statute 450.033 </w:t>
      </w:r>
      <w:r w:rsidRPr="00DB3BDD">
        <w:rPr>
          <w:rStyle w:val="qstitlesection"/>
          <w:rFonts w:asciiTheme="minorHAnsi" w:hAnsiTheme="minorHAnsi" w:cstheme="minorHAnsi"/>
          <w:bCs/>
          <w:i/>
          <w:color w:val="000000"/>
        </w:rPr>
        <w:t>Services delegated by physician: A pharmacist may perform any patient care service delegated to the pharmacist by a physician, as defined in s. 448.01(5</w:t>
      </w:r>
      <w:r>
        <w:rPr>
          <w:rStyle w:val="qstitlesection"/>
          <w:rFonts w:asciiTheme="minorHAnsi" w:hAnsiTheme="minorHAnsi" w:cstheme="minorHAnsi"/>
          <w:bCs/>
          <w:i/>
          <w:color w:val="000000"/>
        </w:rPr>
        <w:t>).</w:t>
      </w:r>
      <w:r w:rsidRPr="00DB3BDD">
        <w:rPr>
          <w:rFonts w:asciiTheme="minorHAnsi" w:hAnsiTheme="minorHAnsi" w:cstheme="minorHAnsi"/>
          <w:shd w:val="clear" w:color="auto" w:fill="FFFFAA"/>
        </w:rPr>
        <w:t xml:space="preserve"> </w:t>
      </w:r>
    </w:p>
    <w:p w:rsidR="00CC131F" w:rsidRPr="00DB3BDD" w:rsidRDefault="00CC131F" w:rsidP="00CC131F">
      <w:pPr>
        <w:pStyle w:val="BodyText2"/>
        <w:autoSpaceDE/>
        <w:autoSpaceDN/>
        <w:adjustRightInd/>
        <w:spacing w:after="120"/>
        <w:ind w:left="720" w:right="0"/>
        <w:rPr>
          <w:rFonts w:asciiTheme="minorHAnsi" w:hAnsiTheme="minorHAnsi" w:cstheme="minorHAnsi"/>
        </w:rPr>
      </w:pPr>
      <w:r w:rsidRPr="00DB3BDD">
        <w:rPr>
          <w:rFonts w:asciiTheme="minorHAnsi" w:hAnsiTheme="minorHAnsi" w:cstheme="minorHAnsi"/>
        </w:rPr>
        <w:t>448.01</w:t>
      </w:r>
      <w:r w:rsidRPr="00DB3BDD">
        <w:rPr>
          <w:rFonts w:asciiTheme="minorHAnsi" w:hAnsiTheme="minorHAnsi" w:cstheme="minorHAnsi"/>
        </w:rPr>
        <w:t> </w:t>
      </w:r>
      <w:r w:rsidRPr="00DB3BDD">
        <w:rPr>
          <w:rFonts w:asciiTheme="minorHAnsi" w:hAnsiTheme="minorHAnsi" w:cstheme="minorHAnsi"/>
        </w:rPr>
        <w:t xml:space="preserve"> Definitions. In this chapter:  </w:t>
      </w:r>
      <w:r w:rsidRPr="00DB3BDD">
        <w:rPr>
          <w:rFonts w:asciiTheme="minorHAnsi" w:hAnsiTheme="minorHAnsi" w:cstheme="minorHAnsi"/>
          <w:bCs/>
        </w:rPr>
        <w:t>(5)</w:t>
      </w:r>
      <w:r w:rsidRPr="00DB3BDD">
        <w:rPr>
          <w:rFonts w:asciiTheme="minorHAnsi" w:hAnsiTheme="minorHAnsi" w:cstheme="minorHAnsi"/>
        </w:rPr>
        <w:t> </w:t>
      </w:r>
      <w:r w:rsidRPr="00DB3BDD">
        <w:rPr>
          <w:rFonts w:asciiTheme="minorHAnsi" w:hAnsiTheme="minorHAnsi" w:cstheme="minorHAnsi"/>
        </w:rPr>
        <w:t>”Physician” means an individual possessing the degree of doctor of medicine or doctor of osteopathy or an equivalent degree as determined by the medical examining board, and holding a license granted by the medical examining board.</w:t>
      </w:r>
    </w:p>
    <w:p w:rsidR="00CC131F" w:rsidRPr="001D4EE7" w:rsidRDefault="00CC131F" w:rsidP="00CC131F">
      <w:pPr>
        <w:tabs>
          <w:tab w:val="left" w:pos="720"/>
        </w:tabs>
        <w:ind w:left="360"/>
      </w:pPr>
      <w:r w:rsidRPr="001D4EE7">
        <w:t xml:space="preserve">It is the intent of this document to authorize the </w:t>
      </w:r>
      <w:commentRangeStart w:id="1"/>
      <w:r w:rsidRPr="001D4EE7">
        <w:t>pharmacist</w:t>
      </w:r>
      <w:r>
        <w:t xml:space="preserve">s employed by </w:t>
      </w:r>
      <w:commentRangeEnd w:id="1"/>
      <w:r w:rsidR="00CC50BB">
        <w:rPr>
          <w:rStyle w:val="CommentReference"/>
        </w:rPr>
        <w:commentReference w:id="1"/>
      </w:r>
      <w:r w:rsidRPr="00816534">
        <w:rPr>
          <w:b/>
        </w:rPr>
        <w:t>[Insert Name of Pharmacy]</w:t>
      </w:r>
      <w:r w:rsidRPr="001D4EE7">
        <w:t xml:space="preserve"> to work in a collaborative fashion with and under the direct supervision of the</w:t>
      </w:r>
      <w:r>
        <w:t xml:space="preserve"> physician(s) listed below.  This</w:t>
      </w:r>
      <w:r w:rsidRPr="001D4EE7">
        <w:t xml:space="preserve"> document </w:t>
      </w:r>
      <w:r>
        <w:t xml:space="preserve">establishes a framework and </w:t>
      </w:r>
      <w:r w:rsidRPr="001D4EE7">
        <w:t xml:space="preserve">guidelines for collaboration between the physician and pharmacist.  </w:t>
      </w:r>
    </w:p>
    <w:p w:rsidR="00CC131F" w:rsidRDefault="00CC131F" w:rsidP="00CC131F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  <w:b/>
          <w:bCs/>
        </w:rPr>
      </w:pPr>
    </w:p>
    <w:p w:rsidR="00CC131F" w:rsidRDefault="00CC131F" w:rsidP="00CC131F">
      <w:pPr>
        <w:pStyle w:val="BodyText2"/>
        <w:autoSpaceDE/>
        <w:autoSpaceDN/>
        <w:adjustRightInd/>
        <w:spacing w:after="12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Goals</w:t>
      </w:r>
    </w:p>
    <w:p w:rsidR="00CC131F" w:rsidRPr="001D4EE7" w:rsidRDefault="00CC131F" w:rsidP="00CC131F">
      <w:pPr>
        <w:ind w:left="360"/>
      </w:pPr>
      <w:r w:rsidRPr="001D4EE7">
        <w:t xml:space="preserve">The goals of this agreement are to: </w:t>
      </w:r>
    </w:p>
    <w:p w:rsidR="00CC131F" w:rsidRDefault="00CC131F" w:rsidP="00CC131F">
      <w:pPr>
        <w:numPr>
          <w:ilvl w:val="0"/>
          <w:numId w:val="1"/>
        </w:numPr>
        <w:spacing w:after="0" w:line="240" w:lineRule="auto"/>
      </w:pPr>
      <w:r>
        <w:t xml:space="preserve">Allow pharmacists to conduct a Comprehensive Medication Review and Assessment (CMR/A) session with patients who have </w:t>
      </w:r>
      <w:r w:rsidR="00D97C82">
        <w:t xml:space="preserve">a diagnosis of </w:t>
      </w:r>
      <w:r w:rsidR="00A4004A">
        <w:t>hypertension</w:t>
      </w:r>
      <w:r w:rsidRPr="002E0EC9">
        <w:t xml:space="preserve"> </w:t>
      </w:r>
      <w:r w:rsidR="00A4004A">
        <w:t xml:space="preserve">with blood pressure </w:t>
      </w:r>
      <w:r w:rsidRPr="002E0EC9">
        <w:t xml:space="preserve">that may be </w:t>
      </w:r>
      <w:r>
        <w:t xml:space="preserve">sub-optimally </w:t>
      </w:r>
      <w:r w:rsidRPr="002E0EC9">
        <w:t>controlled</w:t>
      </w:r>
      <w:r>
        <w:t xml:space="preserve"> (as defined below).</w:t>
      </w:r>
    </w:p>
    <w:p w:rsidR="00CC131F" w:rsidRPr="001D4EE7" w:rsidRDefault="00CC131F" w:rsidP="00CC131F">
      <w:pPr>
        <w:numPr>
          <w:ilvl w:val="0"/>
          <w:numId w:val="1"/>
        </w:numPr>
        <w:spacing w:after="0" w:line="240" w:lineRule="auto"/>
      </w:pPr>
      <w:r w:rsidRPr="001D4EE7">
        <w:t xml:space="preserve">Improve </w:t>
      </w:r>
      <w:r w:rsidR="00A4004A">
        <w:t xml:space="preserve">a </w:t>
      </w:r>
      <w:r w:rsidR="00E14DA0">
        <w:t xml:space="preserve">patient’s </w:t>
      </w:r>
      <w:r w:rsidR="00A4004A">
        <w:t>hypertension</w:t>
      </w:r>
      <w:r>
        <w:t xml:space="preserve"> regimen by monitoring </w:t>
      </w:r>
      <w:r w:rsidR="00A4004A">
        <w:t xml:space="preserve">blood pressure, </w:t>
      </w:r>
      <w:r>
        <w:t xml:space="preserve">adherence, </w:t>
      </w:r>
      <w:r w:rsidRPr="001D4EE7">
        <w:t>and patient response to current</w:t>
      </w:r>
      <w:r>
        <w:t>ly</w:t>
      </w:r>
      <w:r w:rsidRPr="001D4EE7">
        <w:t xml:space="preserve"> </w:t>
      </w:r>
      <w:r>
        <w:t>prescribed medications/</w:t>
      </w:r>
      <w:r w:rsidRPr="001D4EE7">
        <w:t xml:space="preserve">therapies. </w:t>
      </w:r>
    </w:p>
    <w:p w:rsidR="00CC131F" w:rsidRDefault="00CC131F" w:rsidP="00CC131F">
      <w:pPr>
        <w:numPr>
          <w:ilvl w:val="0"/>
          <w:numId w:val="1"/>
        </w:numPr>
        <w:spacing w:after="0" w:line="240" w:lineRule="auto"/>
      </w:pPr>
      <w:r>
        <w:t xml:space="preserve">Enhance patient/caregiver understanding of their prescribed medication regimen. </w:t>
      </w:r>
    </w:p>
    <w:p w:rsidR="00CC131F" w:rsidRDefault="00CC131F" w:rsidP="00CC131F">
      <w:pPr>
        <w:numPr>
          <w:ilvl w:val="0"/>
          <w:numId w:val="1"/>
        </w:numPr>
        <w:spacing w:after="0" w:line="240" w:lineRule="auto"/>
      </w:pPr>
      <w:r>
        <w:t xml:space="preserve">Formulate recommendations to optimize therapy </w:t>
      </w:r>
      <w:r w:rsidR="00CC50BB">
        <w:t xml:space="preserve">and decrease health care costs, </w:t>
      </w:r>
      <w:r>
        <w:t>when appropriate.</w:t>
      </w:r>
    </w:p>
    <w:p w:rsidR="00CC131F" w:rsidRPr="00085CF9" w:rsidRDefault="00CC131F" w:rsidP="00CC131F">
      <w:pPr>
        <w:numPr>
          <w:ilvl w:val="0"/>
          <w:numId w:val="1"/>
        </w:numPr>
        <w:spacing w:after="0" w:line="240" w:lineRule="auto"/>
      </w:pPr>
      <w:r>
        <w:lastRenderedPageBreak/>
        <w:t>Assess and triage potential and significant adverse drug reactions to the physician(s) named in this agreement.</w:t>
      </w:r>
    </w:p>
    <w:p w:rsidR="00CC131F" w:rsidRPr="001D4EE7" w:rsidRDefault="00CC131F" w:rsidP="00CC131F">
      <w:pPr>
        <w:numPr>
          <w:ilvl w:val="0"/>
          <w:numId w:val="1"/>
        </w:numPr>
        <w:spacing w:after="0" w:line="240" w:lineRule="auto"/>
      </w:pPr>
      <w:r>
        <w:t xml:space="preserve">Increase collaboration between </w:t>
      </w:r>
      <w:r w:rsidRPr="00816534">
        <w:rPr>
          <w:b/>
        </w:rPr>
        <w:t>[Insert Name of Pharmacy]</w:t>
      </w:r>
      <w:r>
        <w:t xml:space="preserve"> and the physicians named below.</w:t>
      </w:r>
    </w:p>
    <w:p w:rsidR="00CC131F" w:rsidRDefault="00CC131F" w:rsidP="00CC131F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:rsidR="00CC131F" w:rsidRDefault="00CC131F" w:rsidP="00CC131F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:rsidR="00CC131F" w:rsidRPr="00966B74" w:rsidRDefault="00CC131F" w:rsidP="00CC131F">
      <w:pPr>
        <w:pStyle w:val="BasicParagraph"/>
        <w:suppressAutoHyphens/>
        <w:rPr>
          <w:rFonts w:asciiTheme="minorHAnsi" w:hAnsiTheme="minorHAnsi" w:cstheme="minorHAnsi"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t>Policy:</w:t>
      </w:r>
      <w:r w:rsidRPr="00966B74">
        <w:rPr>
          <w:rFonts w:asciiTheme="minorHAnsi" w:hAnsiTheme="minorHAnsi" w:cstheme="minorHAnsi"/>
          <w:sz w:val="22"/>
        </w:rPr>
        <w:tab/>
      </w:r>
      <w:r w:rsidRPr="00966B74">
        <w:rPr>
          <w:rFonts w:asciiTheme="minorHAnsi" w:hAnsiTheme="minorHAnsi" w:cstheme="minorHAnsi"/>
          <w:sz w:val="22"/>
        </w:rPr>
        <w:tab/>
      </w:r>
    </w:p>
    <w:p w:rsidR="00CC131F" w:rsidRDefault="00CC131F" w:rsidP="00CC131F">
      <w:pPr>
        <w:pStyle w:val="BasicParagraph"/>
        <w:suppressAutoHyphens/>
        <w:ind w:left="27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Patients who </w:t>
      </w:r>
      <w:r w:rsidR="00A4004A">
        <w:rPr>
          <w:rFonts w:asciiTheme="minorHAnsi" w:hAnsiTheme="minorHAnsi" w:cstheme="minorHAnsi"/>
          <w:bCs/>
          <w:sz w:val="22"/>
        </w:rPr>
        <w:t xml:space="preserve">have blood pressure that is </w:t>
      </w:r>
      <w:r>
        <w:rPr>
          <w:rFonts w:asciiTheme="minorHAnsi" w:hAnsiTheme="minorHAnsi" w:cstheme="minorHAnsi"/>
          <w:bCs/>
          <w:sz w:val="22"/>
        </w:rPr>
        <w:t xml:space="preserve">sub-optimally </w:t>
      </w:r>
      <w:r w:rsidRPr="00085CF9">
        <w:rPr>
          <w:rFonts w:asciiTheme="minorHAnsi" w:hAnsiTheme="minorHAnsi" w:cstheme="minorHAnsi"/>
          <w:bCs/>
          <w:sz w:val="22"/>
        </w:rPr>
        <w:t>controlled</w:t>
      </w:r>
      <w:r w:rsidR="00BE7618">
        <w:rPr>
          <w:rFonts w:asciiTheme="minorHAnsi" w:hAnsiTheme="minorHAnsi" w:cstheme="minorHAnsi"/>
          <w:bCs/>
          <w:sz w:val="22"/>
        </w:rPr>
        <w:t xml:space="preserve"> according to their individualized goal</w:t>
      </w:r>
      <w:r w:rsidR="00E554F0">
        <w:rPr>
          <w:rFonts w:asciiTheme="minorHAnsi" w:hAnsiTheme="minorHAnsi" w:cstheme="minorHAnsi"/>
          <w:bCs/>
          <w:sz w:val="22"/>
        </w:rPr>
        <w:t xml:space="preserve"> or may require closer monitoring</w:t>
      </w:r>
      <w:r w:rsidRPr="00085CF9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as defined by the statements immediately below may be evaluated by the pharmacist for an initial CMR/A. Patients who have received an initial CMR/A are automatically eligible to receive follow-up visits, if necessary. </w:t>
      </w:r>
    </w:p>
    <w:p w:rsidR="00CC131F" w:rsidRPr="008A012C" w:rsidRDefault="00E14DA0" w:rsidP="00CC131F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 w:rsidRPr="008A012C">
        <w:rPr>
          <w:rFonts w:asciiTheme="minorHAnsi" w:hAnsiTheme="minorHAnsi" w:cstheme="minorHAnsi"/>
          <w:bCs/>
          <w:sz w:val="22"/>
        </w:rPr>
        <w:t>Patients with a</w:t>
      </w:r>
      <w:r w:rsidR="0081037C" w:rsidRPr="008A012C">
        <w:rPr>
          <w:rFonts w:asciiTheme="minorHAnsi" w:hAnsiTheme="minorHAnsi" w:cstheme="minorHAnsi"/>
          <w:bCs/>
          <w:sz w:val="22"/>
        </w:rPr>
        <w:t xml:space="preserve"> systolic blood pressure </w:t>
      </w:r>
      <w:r w:rsidR="0081037C" w:rsidRPr="008A012C">
        <w:rPr>
          <w:rFonts w:asciiTheme="minorHAnsi" w:hAnsiTheme="minorHAnsi" w:cstheme="minorHAnsi"/>
          <w:bCs/>
          <w:sz w:val="22"/>
          <w:u w:val="single"/>
        </w:rPr>
        <w:t>&gt;</w:t>
      </w:r>
      <w:r w:rsidR="0081037C" w:rsidRPr="008A012C">
        <w:rPr>
          <w:rFonts w:asciiTheme="minorHAnsi" w:hAnsiTheme="minorHAnsi" w:cstheme="minorHAnsi"/>
          <w:bCs/>
          <w:sz w:val="22"/>
        </w:rPr>
        <w:t xml:space="preserve"> 140 mmHg or diastolic blood pressure </w:t>
      </w:r>
      <w:r w:rsidR="0081037C" w:rsidRPr="008A012C">
        <w:rPr>
          <w:rFonts w:asciiTheme="minorHAnsi" w:hAnsiTheme="minorHAnsi" w:cstheme="minorHAnsi"/>
          <w:bCs/>
          <w:sz w:val="22"/>
          <w:u w:val="single"/>
        </w:rPr>
        <w:t>&gt;</w:t>
      </w:r>
      <w:r w:rsidR="0081037C" w:rsidRPr="008A012C">
        <w:rPr>
          <w:rFonts w:asciiTheme="minorHAnsi" w:hAnsiTheme="minorHAnsi" w:cstheme="minorHAnsi"/>
          <w:bCs/>
          <w:sz w:val="22"/>
        </w:rPr>
        <w:t xml:space="preserve"> 90 mmHg despite treatment with antihypertensive medications for more than 30 days.</w:t>
      </w:r>
    </w:p>
    <w:p w:rsidR="00CC131F" w:rsidRPr="008A012C" w:rsidRDefault="00E14DA0" w:rsidP="00CC131F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 w:rsidRPr="008A012C">
        <w:rPr>
          <w:rFonts w:asciiTheme="minorHAnsi" w:hAnsiTheme="minorHAnsi" w:cstheme="minorHAnsi"/>
          <w:bCs/>
          <w:sz w:val="22"/>
        </w:rPr>
        <w:t>Patients with a</w:t>
      </w:r>
      <w:r w:rsidR="00003922" w:rsidRPr="008A012C">
        <w:rPr>
          <w:rFonts w:asciiTheme="minorHAnsi" w:hAnsiTheme="minorHAnsi" w:cstheme="minorHAnsi"/>
          <w:bCs/>
          <w:sz w:val="22"/>
        </w:rPr>
        <w:t xml:space="preserve">ny systolic blood pressure </w:t>
      </w:r>
      <w:r w:rsidRPr="008A012C">
        <w:rPr>
          <w:rFonts w:asciiTheme="minorHAnsi" w:hAnsiTheme="minorHAnsi" w:cstheme="minorHAnsi"/>
          <w:bCs/>
          <w:sz w:val="22"/>
        </w:rPr>
        <w:t xml:space="preserve">reading of </w:t>
      </w:r>
      <w:r w:rsidR="00003922" w:rsidRPr="008A012C">
        <w:rPr>
          <w:rFonts w:asciiTheme="minorHAnsi" w:hAnsiTheme="minorHAnsi" w:cstheme="minorHAnsi"/>
          <w:bCs/>
          <w:sz w:val="22"/>
          <w:u w:val="single"/>
        </w:rPr>
        <w:t>&gt;</w:t>
      </w:r>
      <w:r w:rsidR="00003922" w:rsidRPr="008A012C">
        <w:rPr>
          <w:rFonts w:asciiTheme="minorHAnsi" w:hAnsiTheme="minorHAnsi" w:cstheme="minorHAnsi"/>
          <w:bCs/>
          <w:sz w:val="22"/>
        </w:rPr>
        <w:t xml:space="preserve"> 160 mmHg or diastolic blood pressure </w:t>
      </w:r>
      <w:r w:rsidRPr="008A012C">
        <w:rPr>
          <w:rFonts w:asciiTheme="minorHAnsi" w:hAnsiTheme="minorHAnsi" w:cstheme="minorHAnsi"/>
          <w:bCs/>
          <w:sz w:val="22"/>
        </w:rPr>
        <w:t xml:space="preserve">reading of </w:t>
      </w:r>
      <w:r w:rsidR="00003922" w:rsidRPr="008A012C">
        <w:rPr>
          <w:rFonts w:asciiTheme="minorHAnsi" w:hAnsiTheme="minorHAnsi" w:cstheme="minorHAnsi"/>
          <w:bCs/>
          <w:sz w:val="22"/>
          <w:u w:val="single"/>
        </w:rPr>
        <w:t>&gt;</w:t>
      </w:r>
      <w:r w:rsidR="00003922" w:rsidRPr="008A012C">
        <w:rPr>
          <w:rFonts w:asciiTheme="minorHAnsi" w:hAnsiTheme="minorHAnsi" w:cstheme="minorHAnsi"/>
          <w:bCs/>
          <w:sz w:val="22"/>
        </w:rPr>
        <w:t xml:space="preserve"> 100 mmHg, indicating a c</w:t>
      </w:r>
      <w:r w:rsidR="00CC131F" w:rsidRPr="008A012C">
        <w:rPr>
          <w:rFonts w:asciiTheme="minorHAnsi" w:hAnsiTheme="minorHAnsi" w:cstheme="minorHAnsi"/>
          <w:bCs/>
          <w:sz w:val="22"/>
        </w:rPr>
        <w:t>lassification of “</w:t>
      </w:r>
      <w:r w:rsidR="0081037C" w:rsidRPr="008A012C">
        <w:rPr>
          <w:rFonts w:asciiTheme="minorHAnsi" w:hAnsiTheme="minorHAnsi" w:cstheme="minorHAnsi"/>
          <w:bCs/>
          <w:sz w:val="22"/>
        </w:rPr>
        <w:t>Stage 2 hypertension</w:t>
      </w:r>
      <w:r w:rsidR="00CC131F" w:rsidRPr="008A012C">
        <w:rPr>
          <w:rFonts w:asciiTheme="minorHAnsi" w:hAnsiTheme="minorHAnsi" w:cstheme="minorHAnsi"/>
          <w:bCs/>
          <w:sz w:val="22"/>
        </w:rPr>
        <w:t xml:space="preserve">” </w:t>
      </w:r>
      <w:r w:rsidR="0081037C" w:rsidRPr="008A012C">
        <w:rPr>
          <w:rFonts w:asciiTheme="minorHAnsi" w:hAnsiTheme="minorHAnsi" w:cstheme="minorHAnsi"/>
          <w:bCs/>
          <w:sz w:val="22"/>
        </w:rPr>
        <w:t>as defined by recent guidelines</w:t>
      </w:r>
      <w:r w:rsidR="00CC131F" w:rsidRPr="008A012C">
        <w:rPr>
          <w:rFonts w:asciiTheme="minorHAnsi" w:hAnsiTheme="minorHAnsi" w:cstheme="minorHAnsi"/>
          <w:bCs/>
          <w:sz w:val="22"/>
        </w:rPr>
        <w:t>.</w:t>
      </w:r>
      <w:r w:rsidR="00003922" w:rsidRPr="008A012C">
        <w:rPr>
          <w:rFonts w:asciiTheme="minorHAnsi" w:hAnsiTheme="minorHAnsi" w:cstheme="minorHAnsi"/>
          <w:bCs/>
          <w:sz w:val="22"/>
          <w:vertAlign w:val="superscript"/>
        </w:rPr>
        <w:t>5</w:t>
      </w:r>
    </w:p>
    <w:p w:rsidR="00003922" w:rsidRPr="008A012C" w:rsidRDefault="007337DE" w:rsidP="00003922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Patients who are non-adherent to prescribed antihypertensive medications.</w:t>
      </w:r>
    </w:p>
    <w:p w:rsidR="00003922" w:rsidRDefault="008965A1" w:rsidP="00CC131F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 w:rsidRPr="008A012C">
        <w:rPr>
          <w:rFonts w:asciiTheme="minorHAnsi" w:hAnsiTheme="minorHAnsi" w:cstheme="minorHAnsi"/>
          <w:bCs/>
          <w:sz w:val="22"/>
        </w:rPr>
        <w:t xml:space="preserve">Controlled patients </w:t>
      </w:r>
      <w:r w:rsidR="00247860">
        <w:rPr>
          <w:rFonts w:asciiTheme="minorHAnsi" w:hAnsiTheme="minorHAnsi" w:cstheme="minorHAnsi"/>
          <w:bCs/>
          <w:sz w:val="22"/>
        </w:rPr>
        <w:t>who</w:t>
      </w:r>
      <w:r w:rsidRPr="008A012C">
        <w:rPr>
          <w:rFonts w:asciiTheme="minorHAnsi" w:hAnsiTheme="minorHAnsi" w:cstheme="minorHAnsi"/>
          <w:bCs/>
          <w:sz w:val="22"/>
        </w:rPr>
        <w:t xml:space="preserve"> require 3 or more antihypertensive</w:t>
      </w:r>
      <w:r w:rsidR="00AA3E2E" w:rsidRPr="008A012C">
        <w:rPr>
          <w:rFonts w:asciiTheme="minorHAnsi" w:hAnsiTheme="minorHAnsi" w:cstheme="minorHAnsi"/>
          <w:bCs/>
          <w:sz w:val="22"/>
        </w:rPr>
        <w:t xml:space="preserve"> medications</w:t>
      </w:r>
      <w:r w:rsidRPr="008A012C">
        <w:rPr>
          <w:rFonts w:asciiTheme="minorHAnsi" w:hAnsiTheme="minorHAnsi" w:cstheme="minorHAnsi"/>
          <w:bCs/>
          <w:sz w:val="22"/>
        </w:rPr>
        <w:t xml:space="preserve"> to achieve goal blood pressure.</w:t>
      </w:r>
    </w:p>
    <w:p w:rsidR="00E554F0" w:rsidRPr="008A012C" w:rsidRDefault="00E554F0" w:rsidP="00CC131F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Patients prescribed antihypertensive medications who may require close monitoring of heart rate for safety purposes.</w:t>
      </w:r>
    </w:p>
    <w:p w:rsidR="00CC131F" w:rsidRDefault="00CC131F" w:rsidP="00CC131F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:rsidR="00CC131F" w:rsidRDefault="00CC131F" w:rsidP="00CC131F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CMR/A consists of a face-to-face visit with the patient (and/or the patient’s caregiver) to:</w:t>
      </w:r>
    </w:p>
    <w:p w:rsidR="00DF7BAF" w:rsidRDefault="00DF7BA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 a complete medical history</w:t>
      </w:r>
    </w:p>
    <w:p w:rsidR="00DF7BAF" w:rsidRDefault="00DF7BA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 blood pressure readings with verification in contralateral arm</w:t>
      </w:r>
    </w:p>
    <w:p w:rsidR="00DF7BAF" w:rsidRDefault="00DF7BA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Establish a blood pressure self-monitoring plan</w:t>
      </w:r>
      <w:r w:rsidR="008A012C">
        <w:rPr>
          <w:rFonts w:asciiTheme="minorHAnsi" w:hAnsiTheme="minorHAnsi" w:cstheme="minorHAnsi"/>
        </w:rPr>
        <w:t xml:space="preserve"> (Appendix A, B, C)</w:t>
      </w:r>
    </w:p>
    <w:p w:rsidR="00CC131F" w:rsidRDefault="00CC131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Assess/review prescription and over-the-counter medications</w:t>
      </w:r>
    </w:p>
    <w:p w:rsidR="00CC131F" w:rsidRDefault="00CC131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and promote medication adherence</w:t>
      </w:r>
    </w:p>
    <w:p w:rsidR="00CC131F" w:rsidRDefault="00CC131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potential drug therapy problems</w:t>
      </w:r>
    </w:p>
    <w:p w:rsidR="00CC131F" w:rsidRDefault="00CC131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Explore more cost effective medication regimens</w:t>
      </w:r>
    </w:p>
    <w:p w:rsidR="00CC131F" w:rsidRDefault="00CC131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medication efficacy</w:t>
      </w:r>
    </w:p>
    <w:p w:rsidR="00DF7BAF" w:rsidRDefault="00DF7BAF" w:rsidP="00CC131F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implementation of therapeutic lifestyle changes</w:t>
      </w:r>
    </w:p>
    <w:p w:rsidR="00DF7BAF" w:rsidRDefault="00DF7BAF" w:rsidP="00DF7BAF">
      <w:pPr>
        <w:pStyle w:val="BodyText2"/>
        <w:autoSpaceDE/>
        <w:autoSpaceDN/>
        <w:adjustRightInd/>
        <w:spacing w:after="120"/>
        <w:ind w:left="720" w:right="0"/>
        <w:rPr>
          <w:rFonts w:asciiTheme="minorHAnsi" w:hAnsiTheme="minorHAnsi" w:cstheme="minorHAnsi"/>
        </w:rPr>
      </w:pPr>
    </w:p>
    <w:p w:rsidR="00CC131F" w:rsidRDefault="00CC131F" w:rsidP="00CC131F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conclusion of each visit, the patient receives a Medication Action Plan and an updated Personal Medication List</w:t>
      </w:r>
      <w:r w:rsidR="00674FE4">
        <w:rPr>
          <w:rFonts w:asciiTheme="minorHAnsi" w:hAnsiTheme="minorHAnsi" w:cstheme="minorHAnsi"/>
        </w:rPr>
        <w:t xml:space="preserve"> (PML) (Example PML in Appendix D)</w:t>
      </w:r>
      <w:r>
        <w:rPr>
          <w:rFonts w:asciiTheme="minorHAnsi" w:hAnsiTheme="minorHAnsi" w:cstheme="minorHAnsi"/>
        </w:rPr>
        <w:t xml:space="preserve">. The physician receives </w:t>
      </w:r>
      <w:r w:rsidR="0024786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visit summary</w:t>
      </w:r>
      <w:r w:rsidR="00E14DA0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an updated list of all the medicat</w:t>
      </w:r>
      <w:r w:rsidR="00BC3AFC">
        <w:rPr>
          <w:rFonts w:asciiTheme="minorHAnsi" w:hAnsiTheme="minorHAnsi" w:cstheme="minorHAnsi"/>
        </w:rPr>
        <w:t>ions/OTC</w:t>
      </w:r>
      <w:r w:rsidR="00E14DA0">
        <w:rPr>
          <w:rFonts w:asciiTheme="minorHAnsi" w:hAnsiTheme="minorHAnsi" w:cstheme="minorHAnsi"/>
        </w:rPr>
        <w:t>’</w:t>
      </w:r>
      <w:r w:rsidR="00BC3AFC">
        <w:rPr>
          <w:rFonts w:asciiTheme="minorHAnsi" w:hAnsiTheme="minorHAnsi" w:cstheme="minorHAnsi"/>
        </w:rPr>
        <w:t>s the patient is taking</w:t>
      </w:r>
      <w:r>
        <w:rPr>
          <w:rFonts w:asciiTheme="minorHAnsi" w:hAnsiTheme="minorHAnsi" w:cstheme="minorHAnsi"/>
        </w:rPr>
        <w:t xml:space="preserve">. This communication may or may not include recommendations for change. Pharmacists are not allowed to make any </w:t>
      </w:r>
      <w:r w:rsidRPr="00EF6D2D">
        <w:rPr>
          <w:rFonts w:asciiTheme="minorHAnsi" w:hAnsiTheme="minorHAnsi" w:cstheme="minorHAnsi"/>
        </w:rPr>
        <w:t xml:space="preserve">changes to the patient’s medication regimen without health care prescriber approval. Pharmacists </w:t>
      </w:r>
      <w:r w:rsidR="00EF6D2D" w:rsidRPr="00BE7618">
        <w:rPr>
          <w:rFonts w:asciiTheme="minorHAnsi" w:hAnsiTheme="minorHAnsi"/>
        </w:rPr>
        <w:t>recommendations are based on recent hypertension management guidelines.</w:t>
      </w:r>
      <w:r w:rsidR="00EF6D2D" w:rsidRPr="00BE7618">
        <w:rPr>
          <w:rFonts w:asciiTheme="minorHAnsi" w:hAnsiTheme="minorHAnsi"/>
          <w:vertAlign w:val="superscript"/>
        </w:rPr>
        <w:t>5</w:t>
      </w:r>
      <w:r w:rsidR="00EF6D2D" w:rsidRPr="00EF6D2D">
        <w:rPr>
          <w:rFonts w:asciiTheme="minorHAnsi" w:hAnsiTheme="minorHAnsi" w:cstheme="minorHAnsi"/>
        </w:rPr>
        <w:t xml:space="preserve"> Pharmacists s</w:t>
      </w:r>
      <w:r w:rsidRPr="00EF6D2D">
        <w:rPr>
          <w:rFonts w:asciiTheme="minorHAnsi" w:hAnsiTheme="minorHAnsi" w:cstheme="minorHAnsi"/>
        </w:rPr>
        <w:t>trongly encourage patients to see their physician for follow-up care or when concerns arise. The care provided</w:t>
      </w:r>
      <w:r>
        <w:rPr>
          <w:rFonts w:asciiTheme="minorHAnsi" w:hAnsiTheme="minorHAnsi" w:cstheme="minorHAnsi"/>
        </w:rPr>
        <w:t xml:space="preserve"> by the pharmacist is designed to complement, not replace, the usual and standard care provided by the patient’s physician.</w:t>
      </w:r>
    </w:p>
    <w:p w:rsidR="00CC131F" w:rsidRPr="001D4EE7" w:rsidRDefault="00CC131F" w:rsidP="00CC131F">
      <w:pPr>
        <w:tabs>
          <w:tab w:val="left" w:pos="720"/>
        </w:tabs>
        <w:ind w:left="360"/>
      </w:pPr>
      <w:r w:rsidRPr="001D4EE7">
        <w:lastRenderedPageBreak/>
        <w:t>This agreement is voluntary and may be terminated</w:t>
      </w:r>
      <w:r>
        <w:t xml:space="preserve"> </w:t>
      </w:r>
      <w:r w:rsidRPr="00CE0EF4">
        <w:rPr>
          <w:u w:val="single"/>
        </w:rPr>
        <w:t>via written request</w:t>
      </w:r>
      <w:r w:rsidRPr="001D4EE7">
        <w:t xml:space="preserve"> at any time by either party.  This document will be reviewed by both parties at least </w:t>
      </w:r>
      <w:r w:rsidRPr="007213FF">
        <w:rPr>
          <w:b/>
        </w:rPr>
        <w:t>[annually</w:t>
      </w:r>
      <w:r>
        <w:rPr>
          <w:b/>
        </w:rPr>
        <w:t xml:space="preserve"> or insert other time frame here</w:t>
      </w:r>
      <w:r w:rsidRPr="007213FF">
        <w:rPr>
          <w:b/>
        </w:rPr>
        <w:t>]</w:t>
      </w:r>
      <w:r w:rsidRPr="001D4EE7">
        <w:t>.</w:t>
      </w:r>
    </w:p>
    <w:p w:rsidR="00BE7618" w:rsidRDefault="00BE7618" w:rsidP="00CC131F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:rsidR="00BE7618" w:rsidRDefault="00BE7618" w:rsidP="00CC131F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:rsidR="00BE7618" w:rsidRDefault="00BE7618" w:rsidP="00CC131F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:rsidR="00CC131F" w:rsidRPr="00966B74" w:rsidRDefault="00CC131F" w:rsidP="00CC131F">
      <w:pPr>
        <w:pStyle w:val="BasicParagraph"/>
        <w:suppressAutoHyphens/>
        <w:rPr>
          <w:rFonts w:asciiTheme="minorHAnsi" w:hAnsiTheme="minorHAnsi" w:cstheme="minorHAnsi"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t>Signatures of participating physicians:</w:t>
      </w:r>
    </w:p>
    <w:p w:rsidR="00CC131F" w:rsidRDefault="00CC131F" w:rsidP="00CC131F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agreement is e</w:t>
      </w:r>
      <w:r w:rsidRPr="00966B74">
        <w:rPr>
          <w:rFonts w:asciiTheme="minorHAnsi" w:hAnsiTheme="minorHAnsi" w:cstheme="minorHAnsi"/>
          <w:sz w:val="22"/>
        </w:rPr>
        <w:t xml:space="preserve">ffective date </w:t>
      </w:r>
      <w:r>
        <w:rPr>
          <w:rFonts w:asciiTheme="minorHAnsi" w:hAnsiTheme="minorHAnsi" w:cstheme="minorHAnsi"/>
          <w:sz w:val="22"/>
        </w:rPr>
        <w:t xml:space="preserve">as </w:t>
      </w:r>
      <w:r w:rsidRPr="00966B74">
        <w:rPr>
          <w:rFonts w:asciiTheme="minorHAnsi" w:hAnsiTheme="minorHAnsi" w:cstheme="minorHAnsi"/>
          <w:sz w:val="22"/>
        </w:rPr>
        <w:t>of</w:t>
      </w:r>
      <w:r>
        <w:rPr>
          <w:rFonts w:asciiTheme="minorHAnsi" w:hAnsiTheme="minorHAnsi" w:cstheme="minorHAnsi"/>
          <w:sz w:val="22"/>
        </w:rPr>
        <w:t xml:space="preserve"> the dates set forth below:</w:t>
      </w:r>
    </w:p>
    <w:p w:rsidR="00CC131F" w:rsidRDefault="00CC131F" w:rsidP="00CC131F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Name: __________</w:t>
      </w:r>
      <w:r w:rsidR="00BC3AFC">
        <w:rPr>
          <w:rFonts w:asciiTheme="minorHAnsi" w:hAnsiTheme="minorHAnsi" w:cstheme="minorHAnsi"/>
          <w:sz w:val="22"/>
        </w:rPr>
        <w:t xml:space="preserve">__________________ </w:t>
      </w:r>
      <w:r>
        <w:rPr>
          <w:rFonts w:asciiTheme="minorHAnsi" w:hAnsiTheme="minorHAnsi" w:cstheme="minorHAnsi"/>
          <w:sz w:val="22"/>
        </w:rPr>
        <w:t>State License Number: _____________________</w:t>
      </w:r>
    </w:p>
    <w:p w:rsidR="00CC131F" w:rsidRPr="00966B74" w:rsidRDefault="00CC131F" w:rsidP="00CC131F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Signature: ______</w:t>
      </w:r>
      <w:r w:rsidR="00BC3AFC">
        <w:rPr>
          <w:rFonts w:asciiTheme="minorHAnsi" w:hAnsiTheme="minorHAnsi" w:cstheme="minorHAnsi"/>
          <w:sz w:val="22"/>
        </w:rPr>
        <w:t>____________________</w:t>
      </w:r>
      <w:r>
        <w:rPr>
          <w:rFonts w:asciiTheme="minorHAnsi" w:hAnsiTheme="minorHAnsi" w:cstheme="minorHAnsi"/>
          <w:sz w:val="22"/>
        </w:rPr>
        <w:t xml:space="preserve"> Date Signed: ____________________________</w:t>
      </w:r>
    </w:p>
    <w:p w:rsidR="00CC131F" w:rsidRDefault="00CC131F" w:rsidP="00CC131F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:rsidR="00CC131F" w:rsidRDefault="00CC131F" w:rsidP="00CC131F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:rsidR="00BC3AFC" w:rsidRDefault="00BC3AFC" w:rsidP="00BC3AFC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Name: ____________________________ State License Number: _____________________</w:t>
      </w:r>
    </w:p>
    <w:p w:rsidR="00BC3AFC" w:rsidRPr="00966B74" w:rsidRDefault="00BC3AFC" w:rsidP="00BC3AFC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Signature: __________________________ Date Signed: ____________________________</w:t>
      </w:r>
    </w:p>
    <w:p w:rsidR="00BC3AFC" w:rsidRDefault="00BC3AFC" w:rsidP="00BC3AFC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:rsidR="00BC3AFC" w:rsidRDefault="00BC3AFC" w:rsidP="00BC3AFC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Name: ____________________________ State License Number: _____________________</w:t>
      </w:r>
    </w:p>
    <w:p w:rsidR="00BC3AFC" w:rsidRPr="00966B74" w:rsidRDefault="00BC3AFC" w:rsidP="00BC3AFC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Signature: __________________________ Date Signed: ____________________________</w:t>
      </w:r>
    </w:p>
    <w:p w:rsidR="00BC3AFC" w:rsidRDefault="00BC3AFC" w:rsidP="00BC3AFC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:rsidR="008A012C" w:rsidRDefault="008A012C">
      <w:pPr>
        <w:rPr>
          <w:rFonts w:cstheme="minorHAnsi"/>
          <w:color w:val="000000"/>
          <w:szCs w:val="24"/>
        </w:rPr>
      </w:pPr>
      <w:r>
        <w:rPr>
          <w:rFonts w:cstheme="minorHAnsi"/>
        </w:rPr>
        <w:br w:type="page"/>
      </w:r>
    </w:p>
    <w:p w:rsidR="00CC131F" w:rsidRDefault="00CC131F" w:rsidP="00CC131F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lastRenderedPageBreak/>
        <w:t>References</w:t>
      </w:r>
      <w:r>
        <w:rPr>
          <w:rFonts w:asciiTheme="minorHAnsi" w:hAnsiTheme="minorHAnsi" w:cstheme="minorHAnsi"/>
          <w:b/>
          <w:bCs/>
          <w:sz w:val="22"/>
        </w:rPr>
        <w:t>:</w:t>
      </w:r>
    </w:p>
    <w:p w:rsidR="00CC131F" w:rsidRPr="003A5630" w:rsidRDefault="003A5630" w:rsidP="003A5630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color w:val="auto"/>
          <w:sz w:val="22"/>
          <w:szCs w:val="22"/>
        </w:rPr>
      </w:pPr>
      <w:r w:rsidRPr="003A563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Million Hearts. Available at </w:t>
      </w:r>
      <w:hyperlink r:id="rId10" w:history="1">
        <w:r w:rsidRPr="00A0688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http://millionhearts.hhs.gov/index.html</w:t>
        </w:r>
      </w:hyperlink>
      <w:r w:rsidRPr="003A563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3A563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Accessed June 16, 2015.</w:t>
      </w:r>
    </w:p>
    <w:p w:rsidR="003A5630" w:rsidRPr="003A5630" w:rsidRDefault="003A5630" w:rsidP="003A5630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Team Up. Pressure Down. Available at </w:t>
      </w:r>
      <w:hyperlink r:id="rId11" w:history="1">
        <w:r w:rsidRPr="00A06881">
          <w:rPr>
            <w:rStyle w:val="Hyperlink"/>
            <w:rFonts w:asciiTheme="minorHAnsi" w:hAnsiTheme="minorHAnsi" w:cstheme="minorHAnsi"/>
            <w:sz w:val="22"/>
            <w:szCs w:val="22"/>
          </w:rPr>
          <w:t>http://millionhearts.hhs.gov/resources/teamuppressuredown.html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>, Accessed June 16, 2015.</w:t>
      </w:r>
    </w:p>
    <w:p w:rsidR="00CC131F" w:rsidRDefault="00CC131F" w:rsidP="00CC131F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Pharmacy Society of Wisconsin. </w:t>
      </w:r>
      <w:r>
        <w:rPr>
          <w:rFonts w:asciiTheme="minorHAnsi" w:hAnsiTheme="minorHAnsi" w:cstheme="minorHAnsi"/>
          <w:i/>
          <w:sz w:val="22"/>
        </w:rPr>
        <w:t>Welcome to WPQC.</w:t>
      </w:r>
      <w:r>
        <w:rPr>
          <w:rFonts w:asciiTheme="minorHAnsi" w:hAnsiTheme="minorHAnsi" w:cstheme="minorHAnsi"/>
          <w:sz w:val="22"/>
        </w:rPr>
        <w:t xml:space="preserve"> Available at </w:t>
      </w:r>
      <w:hyperlink r:id="rId12" w:history="1">
        <w:r w:rsidRPr="00150AEE">
          <w:rPr>
            <w:rStyle w:val="Hyperlink"/>
            <w:rFonts w:asciiTheme="minorHAnsi" w:hAnsiTheme="minorHAnsi" w:cstheme="minorHAnsi"/>
            <w:sz w:val="22"/>
          </w:rPr>
          <w:t>www.pswi.org/wpqc</w:t>
        </w:r>
      </w:hyperlink>
      <w:r>
        <w:rPr>
          <w:rFonts w:asciiTheme="minorHAnsi" w:hAnsiTheme="minorHAnsi" w:cstheme="minorHAnsi"/>
          <w:sz w:val="22"/>
        </w:rPr>
        <w:t xml:space="preserve">, Accessed </w:t>
      </w:r>
      <w:r w:rsidR="00E14DA0">
        <w:rPr>
          <w:rFonts w:asciiTheme="minorHAnsi" w:hAnsiTheme="minorHAnsi" w:cstheme="minorHAnsi"/>
          <w:sz w:val="22"/>
        </w:rPr>
        <w:t>June</w:t>
      </w:r>
      <w:r>
        <w:rPr>
          <w:rFonts w:asciiTheme="minorHAnsi" w:hAnsiTheme="minorHAnsi" w:cstheme="minorHAnsi"/>
          <w:sz w:val="22"/>
        </w:rPr>
        <w:t xml:space="preserve"> </w:t>
      </w:r>
      <w:r w:rsidR="00E14DA0">
        <w:rPr>
          <w:rFonts w:asciiTheme="minorHAnsi" w:hAnsiTheme="minorHAnsi" w:cstheme="minorHAnsi"/>
          <w:sz w:val="22"/>
        </w:rPr>
        <w:t>16</w:t>
      </w:r>
      <w:r>
        <w:rPr>
          <w:rFonts w:asciiTheme="minorHAnsi" w:hAnsiTheme="minorHAnsi" w:cstheme="minorHAnsi"/>
          <w:sz w:val="22"/>
        </w:rPr>
        <w:t xml:space="preserve">, 2015. </w:t>
      </w:r>
    </w:p>
    <w:p w:rsidR="00CC131F" w:rsidRDefault="00CC131F" w:rsidP="00CC131F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Wisconsin Pharmacy Quality Collaborative (WPQC) Medication Therapy Management (MTM) Services Program. 23 April 2014. Available at </w:t>
      </w:r>
      <w:hyperlink r:id="rId13" w:history="1">
        <w:r w:rsidRPr="00150AEE">
          <w:rPr>
            <w:rStyle w:val="Hyperlink"/>
            <w:rFonts w:asciiTheme="minorHAnsi" w:hAnsiTheme="minorHAnsi" w:cstheme="minorHAnsi"/>
            <w:sz w:val="22"/>
          </w:rPr>
          <w:t>http://www.pswi.org/Portals/17/WPQC/Wisconsin%20Pharmacy%20Quality%20Collaborative%20Medication%20Therapy%20Management%20Services%20Program.pdf</w:t>
        </w:r>
      </w:hyperlink>
      <w:r>
        <w:rPr>
          <w:rFonts w:asciiTheme="minorHAnsi" w:hAnsiTheme="minorHAnsi" w:cstheme="minorHAnsi"/>
          <w:sz w:val="22"/>
        </w:rPr>
        <w:t xml:space="preserve">, Accessed </w:t>
      </w:r>
      <w:r w:rsidR="00E14DA0">
        <w:rPr>
          <w:rFonts w:asciiTheme="minorHAnsi" w:hAnsiTheme="minorHAnsi" w:cstheme="minorHAnsi"/>
          <w:sz w:val="22"/>
        </w:rPr>
        <w:t>June 16</w:t>
      </w:r>
      <w:r>
        <w:rPr>
          <w:rFonts w:asciiTheme="minorHAnsi" w:hAnsiTheme="minorHAnsi" w:cstheme="minorHAnsi"/>
          <w:sz w:val="22"/>
        </w:rPr>
        <w:t xml:space="preserve">, 2015. </w:t>
      </w:r>
    </w:p>
    <w:p w:rsidR="00003922" w:rsidRDefault="00003922" w:rsidP="00CC131F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Weber MA, Schiffrin EL, White WB, et al. Clinical practice guidelines for the management of hypertension in the community: a statement by the American Society of Hypertension and the International Society of Hypertension.</w:t>
      </w:r>
      <w:r w:rsidR="008965A1">
        <w:rPr>
          <w:rFonts w:asciiTheme="minorHAnsi" w:hAnsiTheme="minorHAnsi" w:cstheme="minorHAnsi"/>
          <w:sz w:val="22"/>
        </w:rPr>
        <w:t xml:space="preserve"> </w:t>
      </w:r>
      <w:r w:rsidR="008965A1" w:rsidRPr="008965A1">
        <w:rPr>
          <w:rFonts w:asciiTheme="minorHAnsi" w:hAnsiTheme="minorHAnsi" w:cstheme="minorHAnsi"/>
          <w:i/>
          <w:sz w:val="22"/>
        </w:rPr>
        <w:t>J Hypertens</w:t>
      </w:r>
      <w:r w:rsidR="008965A1">
        <w:rPr>
          <w:rFonts w:asciiTheme="minorHAnsi" w:hAnsiTheme="minorHAnsi" w:cstheme="minorHAnsi"/>
          <w:sz w:val="22"/>
        </w:rPr>
        <w:t>. 2014;32:3-15.</w:t>
      </w:r>
    </w:p>
    <w:p w:rsidR="00D3007A" w:rsidRDefault="00D3007A">
      <w:r>
        <w:br w:type="page"/>
      </w:r>
    </w:p>
    <w:p w:rsidR="00E4416E" w:rsidRPr="00E4416E" w:rsidRDefault="00E4416E">
      <w:pPr>
        <w:rPr>
          <w:b/>
        </w:rPr>
      </w:pPr>
      <w:r w:rsidRPr="00E4416E">
        <w:rPr>
          <w:b/>
        </w:rPr>
        <w:lastRenderedPageBreak/>
        <w:t>Appendix A</w:t>
      </w:r>
    </w:p>
    <w:p w:rsidR="00F506A5" w:rsidRPr="00EA762E" w:rsidRDefault="00EA762E">
      <w:pPr>
        <w:rPr>
          <w:b/>
          <w:sz w:val="28"/>
        </w:rPr>
      </w:pPr>
      <w:r w:rsidRPr="00EA762E">
        <w:rPr>
          <w:b/>
          <w:sz w:val="28"/>
        </w:rPr>
        <w:t xml:space="preserve">Guidance for Implementation of </w:t>
      </w:r>
      <w:r w:rsidR="00EE4714" w:rsidRPr="00EA762E">
        <w:rPr>
          <w:b/>
          <w:sz w:val="28"/>
        </w:rPr>
        <w:t>Home Self-Monitoring</w:t>
      </w:r>
      <w:r w:rsidR="004F6806" w:rsidRPr="00EA762E">
        <w:rPr>
          <w:b/>
          <w:sz w:val="28"/>
        </w:rPr>
        <w:t xml:space="preserve"> of Blood Pressure</w:t>
      </w:r>
    </w:p>
    <w:p w:rsidR="00EE4714" w:rsidRPr="00EA762E" w:rsidRDefault="004F6806" w:rsidP="00E4416E">
      <w:pPr>
        <w:pStyle w:val="ListParagraph"/>
        <w:numPr>
          <w:ilvl w:val="0"/>
          <w:numId w:val="8"/>
        </w:numPr>
        <w:rPr>
          <w:sz w:val="24"/>
        </w:rPr>
      </w:pPr>
      <w:r w:rsidRPr="00EA762E">
        <w:rPr>
          <w:sz w:val="24"/>
        </w:rPr>
        <w:t>Eligible patients will have u</w:t>
      </w:r>
      <w:r w:rsidR="00EE4714" w:rsidRPr="00EA762E">
        <w:rPr>
          <w:sz w:val="24"/>
        </w:rPr>
        <w:t xml:space="preserve">ncontrolled </w:t>
      </w:r>
      <w:r w:rsidR="00936982" w:rsidRPr="00EA762E">
        <w:rPr>
          <w:sz w:val="24"/>
        </w:rPr>
        <w:t>h</w:t>
      </w:r>
      <w:r w:rsidR="00EE4714" w:rsidRPr="00EA762E">
        <w:rPr>
          <w:sz w:val="24"/>
        </w:rPr>
        <w:t>ypertension</w:t>
      </w:r>
      <w:r w:rsidR="00936982" w:rsidRPr="00EA762E">
        <w:rPr>
          <w:sz w:val="24"/>
        </w:rPr>
        <w:t xml:space="preserve"> (HTN)</w:t>
      </w:r>
      <w:r w:rsidR="00EE4714" w:rsidRPr="00EA762E">
        <w:rPr>
          <w:sz w:val="24"/>
        </w:rPr>
        <w:t>:</w:t>
      </w:r>
    </w:p>
    <w:p w:rsidR="00EE4714" w:rsidRPr="00EA762E" w:rsidRDefault="00EE4714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 xml:space="preserve">Cases of Stage 1 </w:t>
      </w:r>
      <w:r w:rsidR="00936982" w:rsidRPr="00EA762E">
        <w:rPr>
          <w:sz w:val="24"/>
        </w:rPr>
        <w:t xml:space="preserve">HTN </w:t>
      </w:r>
      <w:r w:rsidRPr="00EA762E">
        <w:rPr>
          <w:sz w:val="24"/>
        </w:rPr>
        <w:t>or higher where treatment has not ach</w:t>
      </w:r>
      <w:r w:rsidR="00936982" w:rsidRPr="00EA762E">
        <w:rPr>
          <w:sz w:val="24"/>
        </w:rPr>
        <w:t xml:space="preserve">ieved/maintained </w:t>
      </w:r>
      <w:r w:rsidRPr="00EA762E">
        <w:rPr>
          <w:sz w:val="24"/>
        </w:rPr>
        <w:t xml:space="preserve">readings of &lt; 140 mmHg systolic </w:t>
      </w:r>
      <w:r w:rsidR="00936982" w:rsidRPr="00EA762E">
        <w:rPr>
          <w:sz w:val="24"/>
        </w:rPr>
        <w:t xml:space="preserve">blood pressure (SBP) </w:t>
      </w:r>
      <w:r w:rsidRPr="00EA762E">
        <w:rPr>
          <w:sz w:val="24"/>
        </w:rPr>
        <w:t>and &lt; 90 mmHg diastolic</w:t>
      </w:r>
      <w:r w:rsidR="00936982" w:rsidRPr="00EA762E">
        <w:rPr>
          <w:sz w:val="24"/>
        </w:rPr>
        <w:t xml:space="preserve"> blood pressure (DBP)</w:t>
      </w:r>
      <w:r w:rsidRPr="00EA762E">
        <w:rPr>
          <w:sz w:val="24"/>
        </w:rPr>
        <w:t>.</w:t>
      </w:r>
    </w:p>
    <w:p w:rsidR="000216BD" w:rsidRPr="00EA762E" w:rsidRDefault="00EE4714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Clients with</w:t>
      </w:r>
      <w:r w:rsidR="00936982" w:rsidRPr="00EA762E">
        <w:rPr>
          <w:sz w:val="24"/>
        </w:rPr>
        <w:t xml:space="preserve"> </w:t>
      </w:r>
      <w:r w:rsidR="004F6806" w:rsidRPr="00EA762E">
        <w:rPr>
          <w:sz w:val="24"/>
        </w:rPr>
        <w:t xml:space="preserve">HTN and either </w:t>
      </w:r>
      <w:r w:rsidR="00936982" w:rsidRPr="00EA762E">
        <w:rPr>
          <w:sz w:val="24"/>
        </w:rPr>
        <w:t>diabetes or chronic kidney disease</w:t>
      </w:r>
      <w:r w:rsidRPr="00EA762E">
        <w:rPr>
          <w:sz w:val="24"/>
        </w:rPr>
        <w:t xml:space="preserve"> should be</w:t>
      </w:r>
      <w:r w:rsidR="000216BD" w:rsidRPr="00EA762E">
        <w:rPr>
          <w:sz w:val="24"/>
        </w:rPr>
        <w:t xml:space="preserve"> treated to a SBP of &lt; 140 mmHg, consideration may be given to lower targets for certain individuals.</w:t>
      </w:r>
    </w:p>
    <w:p w:rsidR="00EE4714" w:rsidRPr="00EA762E" w:rsidRDefault="000216BD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 xml:space="preserve">A lower </w:t>
      </w:r>
      <w:r w:rsidR="004F6806" w:rsidRPr="00EA762E">
        <w:rPr>
          <w:sz w:val="24"/>
        </w:rPr>
        <w:t>BP target,</w:t>
      </w:r>
      <w:r w:rsidR="00EE4714" w:rsidRPr="00EA762E">
        <w:rPr>
          <w:sz w:val="24"/>
        </w:rPr>
        <w:t xml:space="preserve"> </w:t>
      </w:r>
      <w:r w:rsidRPr="00EA762E">
        <w:rPr>
          <w:sz w:val="24"/>
        </w:rPr>
        <w:t xml:space="preserve">SBP </w:t>
      </w:r>
      <w:r w:rsidR="00EE4714" w:rsidRPr="00EA762E">
        <w:rPr>
          <w:sz w:val="24"/>
        </w:rPr>
        <w:t>&lt; 130 mmHg</w:t>
      </w:r>
      <w:r w:rsidRPr="00EA762E">
        <w:rPr>
          <w:sz w:val="24"/>
        </w:rPr>
        <w:t xml:space="preserve"> and DBP &lt; 80 mmHg</w:t>
      </w:r>
      <w:r w:rsidR="00EE4714" w:rsidRPr="00EA762E">
        <w:rPr>
          <w:sz w:val="24"/>
        </w:rPr>
        <w:t>, may be appropriate for c</w:t>
      </w:r>
      <w:r w:rsidRPr="00EA762E">
        <w:rPr>
          <w:sz w:val="24"/>
        </w:rPr>
        <w:t>ertain individuals, such as patients with a history of coronary artery disease</w:t>
      </w:r>
      <w:r w:rsidR="004F6806" w:rsidRPr="00EA762E">
        <w:rPr>
          <w:sz w:val="24"/>
        </w:rPr>
        <w:t xml:space="preserve">, myocardial infarction, </w:t>
      </w:r>
      <w:r w:rsidR="007337DE">
        <w:rPr>
          <w:sz w:val="24"/>
        </w:rPr>
        <w:t xml:space="preserve">heart failure, </w:t>
      </w:r>
      <w:r w:rsidR="004F6806" w:rsidRPr="00EA762E">
        <w:rPr>
          <w:sz w:val="24"/>
        </w:rPr>
        <w:t xml:space="preserve">stroke, </w:t>
      </w:r>
      <w:r w:rsidR="00811991">
        <w:rPr>
          <w:sz w:val="24"/>
        </w:rPr>
        <w:t xml:space="preserve">transient ischemic attack, carotid artery disease, </w:t>
      </w:r>
      <w:r w:rsidR="00247860">
        <w:rPr>
          <w:sz w:val="24"/>
        </w:rPr>
        <w:t>abdominal</w:t>
      </w:r>
      <w:r w:rsidR="00811991">
        <w:rPr>
          <w:sz w:val="24"/>
        </w:rPr>
        <w:t xml:space="preserve"> aortic aneurysm, </w:t>
      </w:r>
      <w:r w:rsidR="004F6806" w:rsidRPr="00EA762E">
        <w:rPr>
          <w:sz w:val="24"/>
        </w:rPr>
        <w:t>or peripheral arterial disease</w:t>
      </w:r>
      <w:r w:rsidR="00EE4714" w:rsidRPr="00EA762E">
        <w:rPr>
          <w:sz w:val="24"/>
        </w:rPr>
        <w:t>.</w:t>
      </w:r>
    </w:p>
    <w:p w:rsidR="00EE4714" w:rsidRPr="00EA762E" w:rsidRDefault="00EE4714" w:rsidP="00E4416E">
      <w:pPr>
        <w:pStyle w:val="ListParagraph"/>
        <w:numPr>
          <w:ilvl w:val="0"/>
          <w:numId w:val="8"/>
        </w:numPr>
        <w:rPr>
          <w:sz w:val="24"/>
        </w:rPr>
      </w:pPr>
      <w:r w:rsidRPr="00EA762E">
        <w:rPr>
          <w:sz w:val="24"/>
        </w:rPr>
        <w:t xml:space="preserve">Home self-monitoring </w:t>
      </w:r>
      <w:r w:rsidR="004F6806" w:rsidRPr="00EA762E">
        <w:rPr>
          <w:sz w:val="24"/>
        </w:rPr>
        <w:t xml:space="preserve">of BP </w:t>
      </w:r>
      <w:r w:rsidRPr="00EA762E">
        <w:rPr>
          <w:sz w:val="24"/>
        </w:rPr>
        <w:t>can be useful:</w:t>
      </w:r>
    </w:p>
    <w:p w:rsidR="00EE4714" w:rsidRPr="00EA762E" w:rsidRDefault="00F838C8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To empower patients</w:t>
      </w:r>
      <w:r w:rsidR="00EE4714" w:rsidRPr="00EA762E">
        <w:rPr>
          <w:sz w:val="24"/>
        </w:rPr>
        <w:t xml:space="preserve"> to manage their BP</w:t>
      </w:r>
      <w:r w:rsidRPr="00EA762E">
        <w:rPr>
          <w:sz w:val="24"/>
        </w:rPr>
        <w:t>.</w:t>
      </w:r>
    </w:p>
    <w:p w:rsidR="00EE4714" w:rsidRPr="00EA762E" w:rsidRDefault="00F838C8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 xml:space="preserve">To monitor patients </w:t>
      </w:r>
      <w:r w:rsidR="00CC50BB">
        <w:rPr>
          <w:sz w:val="24"/>
        </w:rPr>
        <w:t>who</w:t>
      </w:r>
      <w:r w:rsidRPr="00EA762E">
        <w:rPr>
          <w:sz w:val="24"/>
        </w:rPr>
        <w:t xml:space="preserve"> </w:t>
      </w:r>
      <w:r w:rsidR="00EE4714" w:rsidRPr="00EA762E">
        <w:rPr>
          <w:sz w:val="24"/>
        </w:rPr>
        <w:t>cannot get their BP under control with lifestyle change</w:t>
      </w:r>
      <w:r w:rsidRPr="00EA762E">
        <w:rPr>
          <w:sz w:val="24"/>
        </w:rPr>
        <w:t>s</w:t>
      </w:r>
      <w:r w:rsidR="00EE4714" w:rsidRPr="00EA762E">
        <w:rPr>
          <w:sz w:val="24"/>
        </w:rPr>
        <w:t xml:space="preserve"> and medication</w:t>
      </w:r>
      <w:r w:rsidRPr="00EA762E">
        <w:rPr>
          <w:sz w:val="24"/>
        </w:rPr>
        <w:t>(s).</w:t>
      </w:r>
    </w:p>
    <w:p w:rsidR="00F838C8" w:rsidRPr="00EA762E" w:rsidRDefault="00F838C8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To determine the effectiveness of patients starting antihypertensive</w:t>
      </w:r>
      <w:r w:rsidR="00EE4714" w:rsidRPr="00EA762E">
        <w:rPr>
          <w:sz w:val="24"/>
        </w:rPr>
        <w:t xml:space="preserve"> treatment</w:t>
      </w:r>
      <w:r w:rsidRPr="00EA762E">
        <w:rPr>
          <w:sz w:val="24"/>
        </w:rPr>
        <w:t>.</w:t>
      </w:r>
    </w:p>
    <w:p w:rsidR="00EE4714" w:rsidRPr="00EA762E" w:rsidRDefault="00EE4714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To titrate medications</w:t>
      </w:r>
      <w:r w:rsidR="00F838C8" w:rsidRPr="00EA762E">
        <w:rPr>
          <w:sz w:val="24"/>
        </w:rPr>
        <w:t>.</w:t>
      </w:r>
    </w:p>
    <w:p w:rsidR="00EE4714" w:rsidRDefault="00EE4714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To screen for white-coat HTN</w:t>
      </w:r>
      <w:r w:rsidR="00F838C8" w:rsidRPr="00EA762E">
        <w:rPr>
          <w:sz w:val="24"/>
        </w:rPr>
        <w:t>.</w:t>
      </w:r>
    </w:p>
    <w:p w:rsidR="00CC50BB" w:rsidRPr="00EA762E" w:rsidRDefault="00CC50BB" w:rsidP="00E4416E">
      <w:pPr>
        <w:pStyle w:val="ListParagraph"/>
        <w:numPr>
          <w:ilvl w:val="1"/>
          <w:numId w:val="8"/>
        </w:numPr>
        <w:rPr>
          <w:sz w:val="24"/>
        </w:rPr>
      </w:pPr>
      <w:r>
        <w:rPr>
          <w:sz w:val="24"/>
        </w:rPr>
        <w:t xml:space="preserve"> To evaluate variable BP.</w:t>
      </w:r>
    </w:p>
    <w:p w:rsidR="00EE4714" w:rsidRPr="00EA762E" w:rsidRDefault="00EE4714" w:rsidP="00E4416E">
      <w:pPr>
        <w:pStyle w:val="ListParagraph"/>
        <w:numPr>
          <w:ilvl w:val="0"/>
          <w:numId w:val="8"/>
        </w:numPr>
        <w:rPr>
          <w:sz w:val="24"/>
        </w:rPr>
      </w:pPr>
      <w:r w:rsidRPr="00EA762E">
        <w:rPr>
          <w:sz w:val="24"/>
        </w:rPr>
        <w:t>Contraindication for home self-monitoring:</w:t>
      </w:r>
    </w:p>
    <w:p w:rsidR="00EE4714" w:rsidRPr="00EA762E" w:rsidRDefault="002622FD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If patients have</w:t>
      </w:r>
      <w:r w:rsidR="00EE4714" w:rsidRPr="00EA762E">
        <w:rPr>
          <w:sz w:val="24"/>
        </w:rPr>
        <w:t xml:space="preserve"> atrial fibrillation or cardiac arrhythmias (home devices may not be able to give accurate measurements)</w:t>
      </w:r>
      <w:r w:rsidRPr="00EA762E">
        <w:rPr>
          <w:sz w:val="24"/>
        </w:rPr>
        <w:t>.</w:t>
      </w:r>
    </w:p>
    <w:p w:rsidR="00EE4714" w:rsidRPr="00EA762E" w:rsidRDefault="00EE4714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 xml:space="preserve">If </w:t>
      </w:r>
      <w:r w:rsidR="002622FD" w:rsidRPr="00EA762E">
        <w:rPr>
          <w:sz w:val="24"/>
        </w:rPr>
        <w:t>patients have</w:t>
      </w:r>
      <w:r w:rsidRPr="00EA762E">
        <w:rPr>
          <w:sz w:val="24"/>
        </w:rPr>
        <w:t xml:space="preserve"> physical and/or mental </w:t>
      </w:r>
      <w:r w:rsidR="002622FD" w:rsidRPr="00EA762E">
        <w:rPr>
          <w:sz w:val="24"/>
        </w:rPr>
        <w:t>dis</w:t>
      </w:r>
      <w:r w:rsidRPr="00EA762E">
        <w:rPr>
          <w:sz w:val="24"/>
        </w:rPr>
        <w:t>abilities</w:t>
      </w:r>
      <w:r w:rsidR="002622FD" w:rsidRPr="00EA762E">
        <w:rPr>
          <w:sz w:val="24"/>
        </w:rPr>
        <w:t xml:space="preserve"> and limited caregiver support.</w:t>
      </w:r>
    </w:p>
    <w:p w:rsidR="00EE4714" w:rsidRPr="00EA762E" w:rsidRDefault="00EE4714" w:rsidP="00E4416E">
      <w:pPr>
        <w:pStyle w:val="ListParagraph"/>
        <w:numPr>
          <w:ilvl w:val="0"/>
          <w:numId w:val="8"/>
        </w:numPr>
        <w:rPr>
          <w:sz w:val="24"/>
        </w:rPr>
      </w:pPr>
      <w:r w:rsidRPr="00EA762E">
        <w:rPr>
          <w:sz w:val="24"/>
        </w:rPr>
        <w:t>Who should be considered for home self-monitoring:</w:t>
      </w:r>
    </w:p>
    <w:p w:rsidR="00EE4714" w:rsidRPr="00EA762E" w:rsidRDefault="00C63772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Patients who are motivated to achieve control by following a medication regimen and lifestyle changes.</w:t>
      </w:r>
    </w:p>
    <w:p w:rsidR="00C63772" w:rsidRPr="00EA762E" w:rsidRDefault="00C63772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Patients who understand the value of self-monitoring and are committed to monitoring lo</w:t>
      </w:r>
      <w:r w:rsidR="00F838C8" w:rsidRPr="00EA762E">
        <w:rPr>
          <w:sz w:val="24"/>
        </w:rPr>
        <w:t>ng term to assess BP</w:t>
      </w:r>
      <w:r w:rsidRPr="00EA762E">
        <w:rPr>
          <w:sz w:val="24"/>
        </w:rPr>
        <w:t xml:space="preserve"> control.</w:t>
      </w:r>
    </w:p>
    <w:p w:rsidR="00C63772" w:rsidRPr="00EA762E" w:rsidRDefault="00C63772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Patients who have the manual dexterity to self-monitor and can do so appropriately.</w:t>
      </w:r>
    </w:p>
    <w:p w:rsidR="00C63772" w:rsidRPr="00EA762E" w:rsidRDefault="00C63772" w:rsidP="00E4416E">
      <w:pPr>
        <w:pStyle w:val="ListParagraph"/>
        <w:numPr>
          <w:ilvl w:val="1"/>
          <w:numId w:val="8"/>
        </w:numPr>
        <w:rPr>
          <w:sz w:val="24"/>
        </w:rPr>
      </w:pPr>
      <w:r w:rsidRPr="00EA762E">
        <w:rPr>
          <w:sz w:val="24"/>
        </w:rPr>
        <w:t>Patients who are dependable and able to come to follow-up visits.</w:t>
      </w:r>
    </w:p>
    <w:p w:rsidR="00E4416E" w:rsidRPr="00E4416E" w:rsidRDefault="00C63772" w:rsidP="00E4416E">
      <w:pPr>
        <w:pStyle w:val="ListParagraph"/>
        <w:numPr>
          <w:ilvl w:val="1"/>
          <w:numId w:val="8"/>
        </w:numPr>
        <w:ind w:left="1080"/>
      </w:pPr>
      <w:r w:rsidRPr="00E4416E">
        <w:rPr>
          <w:sz w:val="24"/>
        </w:rPr>
        <w:t>Patients who are able to take measurements as recommende</w:t>
      </w:r>
      <w:r w:rsidR="00936982" w:rsidRPr="00E4416E">
        <w:rPr>
          <w:sz w:val="24"/>
        </w:rPr>
        <w:t>d and will report BP</w:t>
      </w:r>
      <w:r w:rsidRPr="00E4416E">
        <w:rPr>
          <w:sz w:val="24"/>
        </w:rPr>
        <w:t xml:space="preserve"> measurements to their health</w:t>
      </w:r>
      <w:r w:rsidR="00247860">
        <w:rPr>
          <w:sz w:val="24"/>
        </w:rPr>
        <w:t xml:space="preserve"> </w:t>
      </w:r>
      <w:r w:rsidRPr="00E4416E">
        <w:rPr>
          <w:sz w:val="24"/>
        </w:rPr>
        <w:t>care providers.</w:t>
      </w:r>
    </w:p>
    <w:p w:rsidR="004F6806" w:rsidRDefault="008A012C" w:rsidP="00E4416E">
      <w:pPr>
        <w:ind w:left="720"/>
      </w:pPr>
      <w:r w:rsidRPr="00E4416E">
        <w:rPr>
          <w:sz w:val="20"/>
        </w:rPr>
        <w:t>Based off resources obtained fr</w:t>
      </w:r>
      <w:r w:rsidR="00332D8A" w:rsidRPr="00E4416E">
        <w:rPr>
          <w:sz w:val="20"/>
        </w:rPr>
        <w:t>om the Wisconsin D</w:t>
      </w:r>
      <w:r w:rsidR="00E4416E" w:rsidRPr="00E4416E">
        <w:rPr>
          <w:sz w:val="20"/>
        </w:rPr>
        <w:t>epartment of Health Services</w:t>
      </w:r>
      <w:r w:rsidRPr="00E4416E">
        <w:rPr>
          <w:sz w:val="20"/>
        </w:rPr>
        <w:t xml:space="preserve">. Available at </w:t>
      </w:r>
      <w:hyperlink r:id="rId14" w:history="1">
        <w:r w:rsidRPr="00E4416E">
          <w:rPr>
            <w:rStyle w:val="Hyperlink"/>
            <w:rFonts w:asciiTheme="minorHAnsi" w:hAnsiTheme="minorHAnsi" w:cstheme="minorBidi"/>
            <w:sz w:val="20"/>
          </w:rPr>
          <w:t>https://www.dhs.wisconsin.gov/publications/p00925.pdf</w:t>
        </w:r>
      </w:hyperlink>
      <w:r w:rsidRPr="00E4416E">
        <w:rPr>
          <w:sz w:val="20"/>
        </w:rPr>
        <w:t xml:space="preserve">, Accessed </w:t>
      </w:r>
      <w:r w:rsidR="00332D8A" w:rsidRPr="00E4416E">
        <w:rPr>
          <w:sz w:val="20"/>
        </w:rPr>
        <w:t>June 16, 2015.</w:t>
      </w:r>
      <w:r w:rsidRPr="00E4416E">
        <w:rPr>
          <w:sz w:val="20"/>
        </w:rPr>
        <w:t xml:space="preserve"> </w:t>
      </w:r>
      <w:r w:rsidR="004F6806">
        <w:br w:type="page"/>
      </w:r>
    </w:p>
    <w:p w:rsidR="00F5205F" w:rsidRPr="00F5205F" w:rsidRDefault="00F5205F" w:rsidP="00F5205F">
      <w:pPr>
        <w:rPr>
          <w:b/>
        </w:rPr>
      </w:pPr>
      <w:r w:rsidRPr="00F5205F">
        <w:rPr>
          <w:b/>
        </w:rPr>
        <w:lastRenderedPageBreak/>
        <w:t>Appendix B</w:t>
      </w:r>
    </w:p>
    <w:p w:rsidR="00C63772" w:rsidRPr="00EA762E" w:rsidRDefault="00A17783" w:rsidP="00EA762E">
      <w:pPr>
        <w:jc w:val="center"/>
        <w:rPr>
          <w:b/>
          <w:sz w:val="28"/>
        </w:rPr>
      </w:pPr>
      <w:r w:rsidRPr="00EA762E">
        <w:rPr>
          <w:b/>
          <w:sz w:val="28"/>
        </w:rPr>
        <w:t>Hypertension Self-Monitoring of Blood Pressure Agreement</w:t>
      </w:r>
    </w:p>
    <w:p w:rsidR="00A17783" w:rsidRPr="00EA762E" w:rsidRDefault="00A17783" w:rsidP="00A17783">
      <w:pPr>
        <w:rPr>
          <w:sz w:val="24"/>
        </w:rPr>
      </w:pPr>
      <w:r w:rsidRPr="00EA762E">
        <w:rPr>
          <w:sz w:val="24"/>
        </w:rPr>
        <w:t>I understand that I have been diagnosed with hypertension or high blood pressure. After a discussion with my pharmacist, I have been offered the option to self-monitor my blood pressure to better my involvement in treating this condition.</w:t>
      </w:r>
    </w:p>
    <w:p w:rsidR="00A17783" w:rsidRPr="00EA762E" w:rsidRDefault="00A17783" w:rsidP="00A17783">
      <w:pPr>
        <w:rPr>
          <w:sz w:val="24"/>
        </w:rPr>
      </w:pPr>
      <w:r w:rsidRPr="00EA762E">
        <w:rPr>
          <w:sz w:val="24"/>
        </w:rPr>
        <w:t>As a participant in self-monitoring my hypertension, I understand and agree that:</w:t>
      </w:r>
    </w:p>
    <w:p w:rsidR="00A17783" w:rsidRPr="00EA762E" w:rsidRDefault="00A17783" w:rsidP="00A17783">
      <w:pPr>
        <w:pStyle w:val="ListParagraph"/>
        <w:numPr>
          <w:ilvl w:val="0"/>
          <w:numId w:val="6"/>
        </w:numPr>
        <w:rPr>
          <w:sz w:val="24"/>
        </w:rPr>
      </w:pPr>
      <w:r w:rsidRPr="00EA762E">
        <w:rPr>
          <w:sz w:val="24"/>
        </w:rPr>
        <w:t>I will be trained to use the monitor and agree to follow the instructions provided to me by the pharmacist for measuring my blood pressure.</w:t>
      </w:r>
    </w:p>
    <w:p w:rsidR="00A17783" w:rsidRPr="00EA762E" w:rsidRDefault="00704C25" w:rsidP="00A17783">
      <w:pPr>
        <w:pStyle w:val="ListParagraph"/>
        <w:numPr>
          <w:ilvl w:val="0"/>
          <w:numId w:val="6"/>
        </w:numPr>
        <w:rPr>
          <w:sz w:val="24"/>
        </w:rPr>
      </w:pPr>
      <w:r w:rsidRPr="00EA762E">
        <w:rPr>
          <w:sz w:val="24"/>
        </w:rPr>
        <w:t>I will record</w:t>
      </w:r>
      <w:r w:rsidR="00A17783" w:rsidRPr="00EA762E">
        <w:rPr>
          <w:sz w:val="24"/>
        </w:rPr>
        <w:t xml:space="preserve"> all of my readings in </w:t>
      </w:r>
      <w:r w:rsidRPr="00EA762E">
        <w:rPr>
          <w:sz w:val="24"/>
        </w:rPr>
        <w:t>a blood pressure log.</w:t>
      </w:r>
    </w:p>
    <w:p w:rsidR="00704C25" w:rsidRPr="00EA762E" w:rsidRDefault="00704C25" w:rsidP="00A17783">
      <w:pPr>
        <w:pStyle w:val="ListParagraph"/>
        <w:numPr>
          <w:ilvl w:val="0"/>
          <w:numId w:val="6"/>
        </w:numPr>
        <w:rPr>
          <w:sz w:val="24"/>
        </w:rPr>
      </w:pPr>
      <w:r w:rsidRPr="00EA762E">
        <w:rPr>
          <w:sz w:val="24"/>
        </w:rPr>
        <w:t>I will share my blood pressure log with my pharmacist and physician at each visit.</w:t>
      </w:r>
    </w:p>
    <w:p w:rsidR="00704C25" w:rsidRPr="00EA762E" w:rsidRDefault="00704C25" w:rsidP="00A17783">
      <w:pPr>
        <w:pStyle w:val="ListParagraph"/>
        <w:numPr>
          <w:ilvl w:val="0"/>
          <w:numId w:val="6"/>
        </w:numPr>
        <w:rPr>
          <w:sz w:val="24"/>
        </w:rPr>
      </w:pPr>
      <w:r w:rsidRPr="00EA762E">
        <w:rPr>
          <w:sz w:val="24"/>
        </w:rPr>
        <w:t>I understand that taking my medication as directed is very important in order for me to gain and maintain control of my blood pressure.</w:t>
      </w:r>
    </w:p>
    <w:p w:rsidR="00704C25" w:rsidRPr="00EA762E" w:rsidRDefault="00704C25" w:rsidP="00A17783">
      <w:pPr>
        <w:pStyle w:val="ListParagraph"/>
        <w:numPr>
          <w:ilvl w:val="0"/>
          <w:numId w:val="6"/>
        </w:numPr>
        <w:rPr>
          <w:sz w:val="24"/>
        </w:rPr>
      </w:pPr>
      <w:r w:rsidRPr="00EA762E">
        <w:rPr>
          <w:sz w:val="24"/>
        </w:rPr>
        <w:t>If I have a blood pressure reading of greater than 180 mmHg (top number) or greater than 110 mmHg (bottom number), I should immediately contact medical attention.</w:t>
      </w:r>
    </w:p>
    <w:p w:rsidR="00704C25" w:rsidRPr="00EA762E" w:rsidRDefault="00704C25" w:rsidP="00A17783">
      <w:pPr>
        <w:pStyle w:val="ListParagraph"/>
        <w:numPr>
          <w:ilvl w:val="0"/>
          <w:numId w:val="6"/>
        </w:numPr>
        <w:rPr>
          <w:sz w:val="24"/>
        </w:rPr>
      </w:pPr>
      <w:r w:rsidRPr="00EA762E">
        <w:rPr>
          <w:sz w:val="24"/>
        </w:rPr>
        <w:t>I agree to attend all follow up appointments with my pharmacist, physician, and health</w:t>
      </w:r>
      <w:r w:rsidR="00247860">
        <w:rPr>
          <w:sz w:val="24"/>
        </w:rPr>
        <w:t xml:space="preserve"> </w:t>
      </w:r>
      <w:r w:rsidRPr="00EA762E">
        <w:rPr>
          <w:sz w:val="24"/>
        </w:rPr>
        <w:t>care providers.</w:t>
      </w:r>
    </w:p>
    <w:p w:rsidR="00704C25" w:rsidRPr="00EA762E" w:rsidRDefault="00704C25" w:rsidP="00A17783">
      <w:pPr>
        <w:pStyle w:val="ListParagraph"/>
        <w:numPr>
          <w:ilvl w:val="0"/>
          <w:numId w:val="6"/>
        </w:numPr>
        <w:rPr>
          <w:sz w:val="24"/>
        </w:rPr>
      </w:pPr>
      <w:r w:rsidRPr="00EA762E">
        <w:rPr>
          <w:sz w:val="24"/>
        </w:rPr>
        <w:t>I will be contacted by my pharmacists to discuss my progress and I will do my best to participate in all of the conversation.</w:t>
      </w:r>
    </w:p>
    <w:p w:rsidR="00704C25" w:rsidRPr="00EA762E" w:rsidRDefault="00704C25" w:rsidP="00704C25">
      <w:pPr>
        <w:rPr>
          <w:sz w:val="24"/>
        </w:rPr>
      </w:pPr>
      <w:r w:rsidRPr="00EA762E">
        <w:rPr>
          <w:sz w:val="24"/>
        </w:rPr>
        <w:t xml:space="preserve">I release my pharmacist from any claim arising or resulting from or relating </w:t>
      </w:r>
      <w:r w:rsidR="00A93DDF" w:rsidRPr="00EA762E">
        <w:rPr>
          <w:sz w:val="24"/>
        </w:rPr>
        <w:t>in any way to my use of the self-monitoring blood pressure device or the impact of results of my blood pressure monitoring.</w:t>
      </w:r>
    </w:p>
    <w:p w:rsidR="00A93DDF" w:rsidRPr="00EA762E" w:rsidRDefault="00A93DDF" w:rsidP="00A93DDF">
      <w:pPr>
        <w:ind w:left="270" w:hanging="270"/>
        <w:rPr>
          <w:sz w:val="24"/>
        </w:rPr>
      </w:pPr>
      <w:r w:rsidRPr="00E4416E">
        <w:rPr>
          <w:sz w:val="36"/>
        </w:rPr>
        <w:t>□</w:t>
      </w:r>
      <w:r w:rsidRPr="00EA762E">
        <w:rPr>
          <w:sz w:val="24"/>
        </w:rPr>
        <w:t xml:space="preserve">  I have been offered the option to self-monitor my blood pressure and I choose to decline participation at this time.</w:t>
      </w:r>
    </w:p>
    <w:p w:rsidR="00A93DDF" w:rsidRPr="00EA762E" w:rsidRDefault="00A93DDF" w:rsidP="00332D8A">
      <w:pPr>
        <w:ind w:left="270" w:hanging="270"/>
        <w:rPr>
          <w:sz w:val="24"/>
        </w:rPr>
      </w:pPr>
      <w:r w:rsidRPr="00E4416E">
        <w:rPr>
          <w:sz w:val="36"/>
        </w:rPr>
        <w:t>□</w:t>
      </w:r>
      <w:r w:rsidRPr="00EA762E">
        <w:rPr>
          <w:sz w:val="24"/>
        </w:rPr>
        <w:t xml:space="preserve">  I have been offered the option to self-monitor my blood pressure, and I choose to participate.</w:t>
      </w:r>
    </w:p>
    <w:p w:rsidR="00CD162B" w:rsidRDefault="00CD162B" w:rsidP="00704C25">
      <w:r>
        <w:t>Participant name (printed): ______________________   Staff name (printed): _____________________</w:t>
      </w:r>
    </w:p>
    <w:p w:rsidR="00CD162B" w:rsidRDefault="00CD162B" w:rsidP="00704C25">
      <w:r>
        <w:t>Participant signature: ___________________________  Staff signature: __________________________</w:t>
      </w:r>
    </w:p>
    <w:p w:rsidR="00A93DDF" w:rsidRDefault="00CD162B" w:rsidP="00704C25">
      <w:r>
        <w:t>Date: ________________________________________   Date: __________________________________</w:t>
      </w:r>
    </w:p>
    <w:p w:rsidR="00332D8A" w:rsidRDefault="00332D8A" w:rsidP="00704C25">
      <w:pPr>
        <w:rPr>
          <w:sz w:val="18"/>
        </w:rPr>
      </w:pPr>
    </w:p>
    <w:p w:rsidR="00332D8A" w:rsidRDefault="00332D8A" w:rsidP="00704C25">
      <w:pPr>
        <w:rPr>
          <w:sz w:val="18"/>
        </w:rPr>
      </w:pPr>
      <w:r w:rsidRPr="00332D8A">
        <w:rPr>
          <w:sz w:val="18"/>
        </w:rPr>
        <w:t xml:space="preserve">Based off resources obtained from the West Virginia Department of Health and Human Services. Available at </w:t>
      </w:r>
      <w:hyperlink r:id="rId15" w:history="1">
        <w:r w:rsidRPr="00332D8A">
          <w:rPr>
            <w:rStyle w:val="Hyperlink"/>
            <w:rFonts w:asciiTheme="minorHAnsi" w:hAnsiTheme="minorHAnsi" w:cstheme="minorBidi"/>
            <w:sz w:val="18"/>
          </w:rPr>
          <w:t>http://www.wvdhhr.org/wvwisewoman/pdf_forms/ww_hsmm_agreement.pdf</w:t>
        </w:r>
      </w:hyperlink>
      <w:r w:rsidRPr="00332D8A">
        <w:rPr>
          <w:sz w:val="18"/>
        </w:rPr>
        <w:t>, Accessed June 16, 2015.</w:t>
      </w:r>
    </w:p>
    <w:p w:rsidR="00FC4396" w:rsidRDefault="00FC4396" w:rsidP="00F5205F">
      <w:pPr>
        <w:rPr>
          <w:b/>
        </w:rPr>
      </w:pPr>
    </w:p>
    <w:p w:rsidR="00F5205F" w:rsidRPr="00F5205F" w:rsidRDefault="00F5205F" w:rsidP="00F5205F">
      <w:pPr>
        <w:rPr>
          <w:b/>
          <w:sz w:val="18"/>
        </w:rPr>
      </w:pPr>
      <w:r w:rsidRPr="00F5205F">
        <w:rPr>
          <w:b/>
        </w:rPr>
        <w:lastRenderedPageBreak/>
        <w:t>Appendix C</w:t>
      </w:r>
    </w:p>
    <w:p w:rsidR="00CC50BB" w:rsidRDefault="00332D8A" w:rsidP="00CC50BB">
      <w:pPr>
        <w:jc w:val="center"/>
        <w:rPr>
          <w:b/>
          <w:sz w:val="28"/>
        </w:rPr>
      </w:pPr>
      <w:r w:rsidRPr="00332D8A">
        <w:rPr>
          <w:b/>
          <w:sz w:val="28"/>
        </w:rPr>
        <w:t>Home Blood Pressure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268"/>
        <w:gridCol w:w="1667"/>
        <w:gridCol w:w="1254"/>
        <w:gridCol w:w="1667"/>
        <w:gridCol w:w="2966"/>
      </w:tblGrid>
      <w:tr w:rsidR="00E4416E" w:rsidTr="00E4416E">
        <w:tc>
          <w:tcPr>
            <w:tcW w:w="736" w:type="dxa"/>
          </w:tcPr>
          <w:p w:rsidR="00E4416E" w:rsidRDefault="00E4416E" w:rsidP="00E4416E">
            <w:pPr>
              <w:jc w:val="center"/>
            </w:pPr>
            <w:r>
              <w:t>Date</w:t>
            </w:r>
          </w:p>
        </w:tc>
        <w:tc>
          <w:tcPr>
            <w:tcW w:w="1268" w:type="dxa"/>
          </w:tcPr>
          <w:p w:rsidR="00E4416E" w:rsidRDefault="00E4416E" w:rsidP="00E4416E">
            <w:pPr>
              <w:jc w:val="center"/>
            </w:pPr>
            <w:r>
              <w:t>Time (AM)</w:t>
            </w:r>
          </w:p>
        </w:tc>
        <w:tc>
          <w:tcPr>
            <w:tcW w:w="1667" w:type="dxa"/>
          </w:tcPr>
          <w:p w:rsidR="00E4416E" w:rsidRDefault="00E4416E" w:rsidP="00E4416E">
            <w:pPr>
              <w:jc w:val="center"/>
            </w:pPr>
            <w:r>
              <w:t>Blood Pressure</w:t>
            </w:r>
          </w:p>
        </w:tc>
        <w:tc>
          <w:tcPr>
            <w:tcW w:w="1254" w:type="dxa"/>
          </w:tcPr>
          <w:p w:rsidR="00E4416E" w:rsidRDefault="00E4416E" w:rsidP="00E4416E">
            <w:pPr>
              <w:jc w:val="center"/>
            </w:pPr>
            <w:r>
              <w:t>Time (PM)</w:t>
            </w:r>
          </w:p>
        </w:tc>
        <w:tc>
          <w:tcPr>
            <w:tcW w:w="1667" w:type="dxa"/>
          </w:tcPr>
          <w:p w:rsidR="00E4416E" w:rsidRDefault="00E4416E" w:rsidP="00E4416E">
            <w:pPr>
              <w:jc w:val="center"/>
            </w:pPr>
            <w:r>
              <w:t>Blood Pressure</w:t>
            </w:r>
          </w:p>
        </w:tc>
        <w:tc>
          <w:tcPr>
            <w:tcW w:w="2966" w:type="dxa"/>
          </w:tcPr>
          <w:p w:rsidR="00E4416E" w:rsidRDefault="00E4416E" w:rsidP="00E4416E">
            <w:pPr>
              <w:jc w:val="center"/>
            </w:pPr>
            <w:r>
              <w:t>Comments</w:t>
            </w:r>
          </w:p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411D5C"/>
        </w:tc>
        <w:tc>
          <w:tcPr>
            <w:tcW w:w="1268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1254" w:type="dxa"/>
          </w:tcPr>
          <w:p w:rsidR="00E4416E" w:rsidRDefault="00E4416E" w:rsidP="00411D5C"/>
        </w:tc>
        <w:tc>
          <w:tcPr>
            <w:tcW w:w="1667" w:type="dxa"/>
          </w:tcPr>
          <w:p w:rsidR="00E4416E" w:rsidRDefault="00E4416E" w:rsidP="00411D5C"/>
        </w:tc>
        <w:tc>
          <w:tcPr>
            <w:tcW w:w="2966" w:type="dxa"/>
          </w:tcPr>
          <w:p w:rsidR="00E4416E" w:rsidRDefault="00E4416E" w:rsidP="00411D5C"/>
        </w:tc>
      </w:tr>
      <w:tr w:rsidR="00E4416E" w:rsidTr="00E4416E">
        <w:tc>
          <w:tcPr>
            <w:tcW w:w="736" w:type="dxa"/>
          </w:tcPr>
          <w:p w:rsidR="00E4416E" w:rsidRDefault="00E4416E" w:rsidP="00332D8A"/>
        </w:tc>
        <w:tc>
          <w:tcPr>
            <w:tcW w:w="1268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1254" w:type="dxa"/>
          </w:tcPr>
          <w:p w:rsidR="00E4416E" w:rsidRDefault="00E4416E" w:rsidP="00332D8A"/>
        </w:tc>
        <w:tc>
          <w:tcPr>
            <w:tcW w:w="1667" w:type="dxa"/>
          </w:tcPr>
          <w:p w:rsidR="00E4416E" w:rsidRDefault="00E4416E" w:rsidP="00332D8A"/>
        </w:tc>
        <w:tc>
          <w:tcPr>
            <w:tcW w:w="2966" w:type="dxa"/>
          </w:tcPr>
          <w:p w:rsidR="00E4416E" w:rsidRDefault="00E4416E" w:rsidP="00332D8A"/>
        </w:tc>
      </w:tr>
    </w:tbl>
    <w:p w:rsidR="00332D8A" w:rsidRDefault="00332D8A" w:rsidP="00F5205F">
      <w:pPr>
        <w:rPr>
          <w:sz w:val="18"/>
        </w:rPr>
      </w:pPr>
    </w:p>
    <w:p w:rsidR="00212385" w:rsidRDefault="00212385" w:rsidP="00BE7618">
      <w:pPr>
        <w:sectPr w:rsidR="00212385" w:rsidSect="00BE7618">
          <w:footerReference w:type="defaul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212385" w:rsidRPr="00212385" w:rsidRDefault="00BE7618" w:rsidP="00BE7618">
      <w:pPr>
        <w:rPr>
          <w:b/>
        </w:rPr>
      </w:pPr>
      <w:r>
        <w:lastRenderedPageBreak/>
        <w:t xml:space="preserve">     </w:t>
      </w:r>
      <w:r w:rsidR="00674FE4">
        <w:rPr>
          <w:b/>
        </w:rPr>
        <w:t>Appendix D</w:t>
      </w:r>
      <w:r w:rsidR="00212385">
        <w:rPr>
          <w:b/>
        </w:rPr>
        <w:t xml:space="preserve">  </w:t>
      </w:r>
      <w:r w:rsidR="00212385">
        <w:t>Patient Name: _____________   DOB: _______ Pharmacy ________________      Phone:   __________           Primary Care MD:  _________________</w:t>
      </w:r>
    </w:p>
    <w:tbl>
      <w:tblPr>
        <w:tblpPr w:leftFromText="180" w:rightFromText="180" w:tblpY="840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980"/>
        <w:gridCol w:w="990"/>
        <w:gridCol w:w="1350"/>
        <w:gridCol w:w="1260"/>
        <w:gridCol w:w="990"/>
        <w:gridCol w:w="1260"/>
        <w:gridCol w:w="1350"/>
        <w:gridCol w:w="1080"/>
        <w:gridCol w:w="2430"/>
      </w:tblGrid>
      <w:tr w:rsidR="00BE7618" w:rsidRPr="001A5102" w:rsidTr="006F4B93">
        <w:trPr>
          <w:trHeight w:val="961"/>
        </w:trPr>
        <w:tc>
          <w:tcPr>
            <w:tcW w:w="127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  <w:r w:rsidRPr="001A5102">
              <w:rPr>
                <w:sz w:val="24"/>
                <w:szCs w:val="24"/>
              </w:rPr>
              <w:t>PURPOSE</w:t>
            </w:r>
          </w:p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E7618" w:rsidRPr="001A5102" w:rsidRDefault="00BE7618" w:rsidP="006F4B93">
            <w:pPr>
              <w:spacing w:after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E7618" w:rsidRPr="001A5102" w:rsidRDefault="00BE7618" w:rsidP="006F4B9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A5102">
              <w:rPr>
                <w:sz w:val="24"/>
                <w:szCs w:val="24"/>
              </w:rPr>
              <w:t>MEDICATION</w:t>
            </w:r>
          </w:p>
          <w:p w:rsidR="00BE7618" w:rsidRPr="001A5102" w:rsidRDefault="00BE7618" w:rsidP="006F4B9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A5102">
              <w:rPr>
                <w:sz w:val="24"/>
                <w:szCs w:val="24"/>
              </w:rPr>
              <w:t xml:space="preserve">NAME </w:t>
            </w:r>
          </w:p>
          <w:p w:rsidR="00BE7618" w:rsidRPr="001A5102" w:rsidRDefault="00BE7618" w:rsidP="006F4B9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A5102">
              <w:rPr>
                <w:sz w:val="24"/>
                <w:szCs w:val="24"/>
              </w:rPr>
              <w:t>(Alphabetical)</w:t>
            </w:r>
          </w:p>
          <w:p w:rsidR="00BE7618" w:rsidRPr="001A5102" w:rsidRDefault="00BE7618" w:rsidP="006F4B9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A5102">
              <w:rPr>
                <w:sz w:val="24"/>
                <w:szCs w:val="24"/>
              </w:rPr>
              <w:t xml:space="preserve"> and</w:t>
            </w:r>
          </w:p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  <w:r w:rsidRPr="001A5102">
              <w:rPr>
                <w:sz w:val="24"/>
                <w:szCs w:val="24"/>
              </w:rPr>
              <w:t xml:space="preserve">DOSE </w:t>
            </w:r>
          </w:p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618" w:rsidRPr="001A5102" w:rsidRDefault="00BE7618" w:rsidP="006F4B93">
            <w:pPr>
              <w:spacing w:after="0"/>
              <w:jc w:val="center"/>
            </w:pP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rPr>
                <w:sz w:val="24"/>
                <w:szCs w:val="24"/>
              </w:rPr>
              <w:t>CHECK APPROPRIATE BOX TO SHOW WHEN TO TAKE DRUG</w:t>
            </w:r>
            <w:r w:rsidRPr="001A5102">
              <w:t xml:space="preserve"> : 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 xml:space="preserve"> Write  in </w:t>
            </w:r>
            <w:r w:rsidRPr="001A5102">
              <w:rPr>
                <w:u w:val="single"/>
              </w:rPr>
              <w:t>number</w:t>
            </w:r>
            <w:r w:rsidRPr="001A5102">
              <w:t xml:space="preserve">  of tablets/capsules </w:t>
            </w:r>
          </w:p>
          <w:p w:rsidR="00BE7618" w:rsidRPr="001A5102" w:rsidRDefault="00BE7618" w:rsidP="006F4B93">
            <w:pPr>
              <w:spacing w:after="0"/>
              <w:jc w:val="center"/>
            </w:pPr>
          </w:p>
        </w:tc>
        <w:tc>
          <w:tcPr>
            <w:tcW w:w="24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  <w:r w:rsidRPr="001A5102">
              <w:rPr>
                <w:sz w:val="24"/>
                <w:szCs w:val="24"/>
              </w:rPr>
              <w:t xml:space="preserve">SPECIAL INSTRUCTIONS or DOSING </w:t>
            </w:r>
          </w:p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  <w:u w:val="single"/>
              </w:rPr>
            </w:pPr>
            <w:r w:rsidRPr="001A5102">
              <w:rPr>
                <w:sz w:val="20"/>
                <w:szCs w:val="20"/>
                <w:u w:val="single"/>
              </w:rPr>
              <w:t>For example: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-Avoid the Sun</w:t>
            </w:r>
          </w:p>
          <w:p w:rsidR="00BE7618" w:rsidRPr="001A5102" w:rsidRDefault="00BE7618" w:rsidP="006F4B93">
            <w:pPr>
              <w:spacing w:after="0"/>
              <w:jc w:val="center"/>
              <w:rPr>
                <w:sz w:val="24"/>
                <w:szCs w:val="24"/>
              </w:rPr>
            </w:pPr>
            <w:r w:rsidRPr="001A5102">
              <w:t>-No alcohol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-Alternate days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-Once a week (day)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-Once a month-date</w:t>
            </w:r>
          </w:p>
        </w:tc>
      </w:tr>
      <w:tr w:rsidR="00BE7618" w:rsidRPr="001A5102" w:rsidTr="006F4B93">
        <w:trPr>
          <w:trHeight w:val="1473"/>
        </w:trPr>
        <w:tc>
          <w:tcPr>
            <w:tcW w:w="127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BE7618" w:rsidRPr="001A5102" w:rsidRDefault="00BE7618" w:rsidP="006F4B93">
            <w:pPr>
              <w:spacing w:after="0"/>
              <w:jc w:val="center"/>
              <w:rPr>
                <w:u w:val="single"/>
              </w:rPr>
            </w:pPr>
            <w:r w:rsidRPr="001A5102">
              <w:rPr>
                <w:u w:val="single"/>
              </w:rPr>
              <w:t>__?__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Minutes Before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Meal(s)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</w:pPr>
            <w:r w:rsidRPr="001A5102">
              <w:t>Breakfast</w:t>
            </w:r>
          </w:p>
          <w:p w:rsidR="00BE7618" w:rsidRPr="001A5102" w:rsidRDefault="00BE7618" w:rsidP="006F4B93">
            <w:pPr>
              <w:spacing w:after="0"/>
              <w:jc w:val="center"/>
            </w:pPr>
          </w:p>
          <w:p w:rsidR="00BE7618" w:rsidRPr="001A5102" w:rsidRDefault="00BE7618" w:rsidP="006F4B93">
            <w:pPr>
              <w:spacing w:after="0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60A10FC" wp14:editId="7B3A7B05">
                  <wp:extent cx="755015" cy="471170"/>
                  <wp:effectExtent l="0" t="0" r="6985" b="5080"/>
                  <wp:docPr id="4" name="Picture 4" descr="MCBD08078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BD08078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</w:pPr>
            <w:r w:rsidRPr="001A5102">
              <w:t>Lunch</w:t>
            </w:r>
          </w:p>
          <w:p w:rsidR="00BE7618" w:rsidRPr="001A5102" w:rsidRDefault="00BE7618" w:rsidP="006F4B93">
            <w:pPr>
              <w:spacing w:after="0"/>
              <w:jc w:val="center"/>
            </w:pPr>
          </w:p>
          <w:p w:rsidR="00BE7618" w:rsidRPr="001A5102" w:rsidRDefault="00BE7618" w:rsidP="006F4B93">
            <w:pPr>
              <w:spacing w:after="0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8E692D" wp14:editId="2B65AEA7">
                  <wp:extent cx="616585" cy="609600"/>
                  <wp:effectExtent l="0" t="0" r="0" b="0"/>
                  <wp:docPr id="3" name="Picture 3" descr="MCj041246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j041246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</w:pPr>
            <w:r w:rsidRPr="001A5102">
              <w:t>Mid-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after-noon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</w:pPr>
            <w:r w:rsidRPr="001A5102">
              <w:t>Dinner</w:t>
            </w:r>
          </w:p>
          <w:p w:rsidR="00BE7618" w:rsidRPr="001A5102" w:rsidRDefault="00BE7618" w:rsidP="006F4B93">
            <w:pPr>
              <w:spacing w:after="0"/>
              <w:jc w:val="center"/>
            </w:pPr>
          </w:p>
          <w:p w:rsidR="00BE7618" w:rsidRPr="001A5102" w:rsidRDefault="00BE7618" w:rsidP="006F4B93">
            <w:pPr>
              <w:spacing w:after="0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6EA0532" wp14:editId="0AD648C7">
                  <wp:extent cx="574675" cy="561340"/>
                  <wp:effectExtent l="0" t="0" r="0" b="0"/>
                  <wp:docPr id="2" name="Picture 2" descr="MCNA00661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NA00661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</w:pPr>
            <w:r w:rsidRPr="001A5102">
              <w:t>Bedtime</w:t>
            </w:r>
          </w:p>
          <w:p w:rsidR="00BE7618" w:rsidRPr="001A5102" w:rsidRDefault="00BE7618" w:rsidP="006F4B93">
            <w:pPr>
              <w:spacing w:after="0"/>
              <w:jc w:val="center"/>
            </w:pPr>
          </w:p>
          <w:p w:rsidR="00BE7618" w:rsidRPr="001A5102" w:rsidRDefault="00BE7618" w:rsidP="006F4B93">
            <w:pPr>
              <w:spacing w:after="0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9B2A646" wp14:editId="35A1BD2C">
                  <wp:extent cx="561340" cy="581660"/>
                  <wp:effectExtent l="0" t="0" r="0" b="8890"/>
                  <wp:docPr id="1" name="Picture 1" descr="MCj029891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9891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102"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7618" w:rsidRPr="001A5102" w:rsidRDefault="00BE7618" w:rsidP="006F4B93">
            <w:pPr>
              <w:spacing w:after="0"/>
              <w:jc w:val="center"/>
            </w:pPr>
            <w:r w:rsidRPr="001A5102">
              <w:t>As</w:t>
            </w:r>
          </w:p>
          <w:p w:rsidR="00BE7618" w:rsidRPr="001A5102" w:rsidRDefault="00BE7618" w:rsidP="006F4B93">
            <w:pPr>
              <w:spacing w:after="0"/>
              <w:jc w:val="center"/>
            </w:pPr>
            <w:r w:rsidRPr="001A5102">
              <w:t>Needed</w:t>
            </w:r>
          </w:p>
        </w:tc>
        <w:tc>
          <w:tcPr>
            <w:tcW w:w="24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BE7618" w:rsidRPr="001A5102" w:rsidRDefault="00BE7618" w:rsidP="006F4B93">
            <w:pPr>
              <w:spacing w:after="0"/>
              <w:jc w:val="center"/>
            </w:pPr>
          </w:p>
        </w:tc>
      </w:tr>
      <w:tr w:rsidR="00BE7618" w:rsidRPr="001A5102" w:rsidTr="006F4B93">
        <w:trPr>
          <w:trHeight w:val="543"/>
        </w:trPr>
        <w:tc>
          <w:tcPr>
            <w:tcW w:w="127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tcBorders>
              <w:top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tcBorders>
              <w:top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43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  <w:rPr>
                <w:color w:val="FFFFFF"/>
              </w:rPr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  <w:tr w:rsidR="00BE7618" w:rsidRPr="001A5102" w:rsidTr="006F4B93">
        <w:trPr>
          <w:trHeight w:val="576"/>
        </w:trPr>
        <w:tc>
          <w:tcPr>
            <w:tcW w:w="127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  <w:tc>
          <w:tcPr>
            <w:tcW w:w="24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7618" w:rsidRPr="001A5102" w:rsidRDefault="00BE7618" w:rsidP="006F4B93">
            <w:pPr>
              <w:spacing w:after="0"/>
            </w:pPr>
          </w:p>
        </w:tc>
      </w:tr>
    </w:tbl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212385" w:rsidRDefault="00212385" w:rsidP="00BE7618">
      <w:pPr>
        <w:spacing w:after="0"/>
        <w:rPr>
          <w:b/>
          <w:sz w:val="24"/>
          <w:szCs w:val="24"/>
        </w:rPr>
      </w:pPr>
    </w:p>
    <w:p w:rsidR="00BE7618" w:rsidRDefault="00BE7618" w:rsidP="00BE761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PATIENT PILL CARD: a way to simplify </w:t>
      </w:r>
      <w:r w:rsidRPr="00B44C3A">
        <w:rPr>
          <w:b/>
          <w:sz w:val="24"/>
          <w:szCs w:val="24"/>
        </w:rPr>
        <w:t>your medication schedule</w:t>
      </w: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Include </w:t>
      </w:r>
      <w:r w:rsidRPr="00B44C3A">
        <w:rPr>
          <w:sz w:val="24"/>
          <w:szCs w:val="24"/>
          <w:u w:val="single"/>
        </w:rPr>
        <w:t>prescription</w:t>
      </w:r>
      <w:r>
        <w:rPr>
          <w:sz w:val="24"/>
          <w:szCs w:val="24"/>
        </w:rPr>
        <w:t xml:space="preserve"> and </w:t>
      </w:r>
      <w:r w:rsidRPr="00B44C3A">
        <w:rPr>
          <w:sz w:val="24"/>
          <w:szCs w:val="24"/>
          <w:u w:val="single"/>
        </w:rPr>
        <w:t>non-prescription</w:t>
      </w:r>
      <w:r>
        <w:rPr>
          <w:sz w:val="24"/>
          <w:szCs w:val="24"/>
        </w:rPr>
        <w:t xml:space="preserve"> medicines.</w:t>
      </w:r>
    </w:p>
    <w:sectPr w:rsidR="00BE7618" w:rsidSect="00212385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rika Horstmann" w:date="2015-07-01T08:55:00Z" w:initials="EH">
    <w:p w:rsidR="00CC50BB" w:rsidRDefault="00CC50BB">
      <w:pPr>
        <w:pStyle w:val="CommentText"/>
      </w:pPr>
      <w:r>
        <w:rPr>
          <w:rStyle w:val="CommentReference"/>
        </w:rPr>
        <w:annotationRef/>
      </w:r>
      <w:r w:rsidR="00BE7618">
        <w:rPr>
          <w:rFonts w:ascii="Arial" w:hAnsi="Arial" w:cs="Arial"/>
        </w:rPr>
        <w:t>Could consider stating “pharmacists employed by [insert name of pharmacy] who have received [specify type of training] …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5C" w:rsidRDefault="0087765C" w:rsidP="008A012C">
      <w:pPr>
        <w:spacing w:after="0" w:line="240" w:lineRule="auto"/>
      </w:pPr>
      <w:r>
        <w:separator/>
      </w:r>
    </w:p>
  </w:endnote>
  <w:endnote w:type="continuationSeparator" w:id="0">
    <w:p w:rsidR="0087765C" w:rsidRDefault="0087765C" w:rsidP="008A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156414"/>
      <w:docPartObj>
        <w:docPartGallery w:val="Page Numbers (Bottom of Page)"/>
        <w:docPartUnique/>
      </w:docPartObj>
    </w:sdtPr>
    <w:sdtEndPr/>
    <w:sdtContent>
      <w:sdt>
        <w:sdtPr>
          <w:id w:val="1914047731"/>
          <w:docPartObj>
            <w:docPartGallery w:val="Page Numbers (Top of Page)"/>
            <w:docPartUnique/>
          </w:docPartObj>
        </w:sdtPr>
        <w:sdtEndPr/>
        <w:sdtContent>
          <w:p w:rsidR="00247860" w:rsidRDefault="002478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1C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1C1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7860" w:rsidRDefault="0024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5C" w:rsidRDefault="0087765C" w:rsidP="008A012C">
      <w:pPr>
        <w:spacing w:after="0" w:line="240" w:lineRule="auto"/>
      </w:pPr>
      <w:r>
        <w:separator/>
      </w:r>
    </w:p>
  </w:footnote>
  <w:footnote w:type="continuationSeparator" w:id="0">
    <w:p w:rsidR="0087765C" w:rsidRDefault="0087765C" w:rsidP="008A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29C"/>
    <w:multiLevelType w:val="hybridMultilevel"/>
    <w:tmpl w:val="F394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92976"/>
    <w:multiLevelType w:val="hybridMultilevel"/>
    <w:tmpl w:val="FF0E87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0518"/>
    <w:multiLevelType w:val="hybridMultilevel"/>
    <w:tmpl w:val="C8E8E5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C40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16F8D"/>
    <w:multiLevelType w:val="hybridMultilevel"/>
    <w:tmpl w:val="9E709682"/>
    <w:lvl w:ilvl="0" w:tplc="0CE86D2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2B4770E4"/>
    <w:multiLevelType w:val="hybridMultilevel"/>
    <w:tmpl w:val="D674A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E7E95"/>
    <w:multiLevelType w:val="hybridMultilevel"/>
    <w:tmpl w:val="E686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71C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7222F90"/>
    <w:multiLevelType w:val="hybridMultilevel"/>
    <w:tmpl w:val="E0D26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E"/>
    <w:rsid w:val="00003922"/>
    <w:rsid w:val="000216BD"/>
    <w:rsid w:val="000D5EE9"/>
    <w:rsid w:val="00212385"/>
    <w:rsid w:val="00247860"/>
    <w:rsid w:val="002622FD"/>
    <w:rsid w:val="00332D8A"/>
    <w:rsid w:val="003A5630"/>
    <w:rsid w:val="00411C1B"/>
    <w:rsid w:val="004B32C6"/>
    <w:rsid w:val="004D33DE"/>
    <w:rsid w:val="004F6806"/>
    <w:rsid w:val="00674FE4"/>
    <w:rsid w:val="00694AE3"/>
    <w:rsid w:val="006D222D"/>
    <w:rsid w:val="00704C25"/>
    <w:rsid w:val="007337DE"/>
    <w:rsid w:val="00774DB8"/>
    <w:rsid w:val="007F28EF"/>
    <w:rsid w:val="0081037C"/>
    <w:rsid w:val="00811991"/>
    <w:rsid w:val="008171FE"/>
    <w:rsid w:val="0087765C"/>
    <w:rsid w:val="008965A1"/>
    <w:rsid w:val="008A012C"/>
    <w:rsid w:val="008D67A5"/>
    <w:rsid w:val="00936982"/>
    <w:rsid w:val="0099325E"/>
    <w:rsid w:val="00A17783"/>
    <w:rsid w:val="00A4004A"/>
    <w:rsid w:val="00A93DDF"/>
    <w:rsid w:val="00AA3E2E"/>
    <w:rsid w:val="00B55345"/>
    <w:rsid w:val="00BC3AFC"/>
    <w:rsid w:val="00BE7618"/>
    <w:rsid w:val="00C63772"/>
    <w:rsid w:val="00CC131F"/>
    <w:rsid w:val="00CC50BB"/>
    <w:rsid w:val="00CD162B"/>
    <w:rsid w:val="00CE5B3E"/>
    <w:rsid w:val="00D3007A"/>
    <w:rsid w:val="00D51DB8"/>
    <w:rsid w:val="00D535AB"/>
    <w:rsid w:val="00D97C82"/>
    <w:rsid w:val="00DF7BAF"/>
    <w:rsid w:val="00E14DA0"/>
    <w:rsid w:val="00E4416E"/>
    <w:rsid w:val="00E554F0"/>
    <w:rsid w:val="00EA762E"/>
    <w:rsid w:val="00EB3B79"/>
    <w:rsid w:val="00EE4714"/>
    <w:rsid w:val="00EF6D2D"/>
    <w:rsid w:val="00F37A11"/>
    <w:rsid w:val="00F506A5"/>
    <w:rsid w:val="00F5205F"/>
    <w:rsid w:val="00F838C8"/>
    <w:rsid w:val="00F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C13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stitlesection">
    <w:name w:val="qs_title_section_"/>
    <w:uiPriority w:val="99"/>
    <w:rsid w:val="00CC131F"/>
    <w:rPr>
      <w:rFonts w:ascii="Times New Roman" w:hAnsi="Times New Roman" w:cs="Times New Roman"/>
    </w:rPr>
  </w:style>
  <w:style w:type="character" w:styleId="Hyperlink">
    <w:name w:val="Hyperlink"/>
    <w:uiPriority w:val="99"/>
    <w:rsid w:val="00CC131F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CC131F"/>
    <w:pPr>
      <w:autoSpaceDE w:val="0"/>
      <w:autoSpaceDN w:val="0"/>
      <w:adjustRightInd w:val="0"/>
      <w:spacing w:after="0" w:line="240" w:lineRule="auto"/>
      <w:ind w:right="713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C131F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14D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2C"/>
  </w:style>
  <w:style w:type="paragraph" w:styleId="Footer">
    <w:name w:val="footer"/>
    <w:basedOn w:val="Normal"/>
    <w:link w:val="FooterChar"/>
    <w:uiPriority w:val="99"/>
    <w:unhideWhenUsed/>
    <w:rsid w:val="008A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2C"/>
  </w:style>
  <w:style w:type="table" w:styleId="TableGrid">
    <w:name w:val="Table Grid"/>
    <w:basedOn w:val="TableNormal"/>
    <w:uiPriority w:val="59"/>
    <w:rsid w:val="0033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4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C13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stitlesection">
    <w:name w:val="qs_title_section_"/>
    <w:uiPriority w:val="99"/>
    <w:rsid w:val="00CC131F"/>
    <w:rPr>
      <w:rFonts w:ascii="Times New Roman" w:hAnsi="Times New Roman" w:cs="Times New Roman"/>
    </w:rPr>
  </w:style>
  <w:style w:type="character" w:styleId="Hyperlink">
    <w:name w:val="Hyperlink"/>
    <w:uiPriority w:val="99"/>
    <w:rsid w:val="00CC131F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CC131F"/>
    <w:pPr>
      <w:autoSpaceDE w:val="0"/>
      <w:autoSpaceDN w:val="0"/>
      <w:adjustRightInd w:val="0"/>
      <w:spacing w:after="0" w:line="240" w:lineRule="auto"/>
      <w:ind w:right="713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C131F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14D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2C"/>
  </w:style>
  <w:style w:type="paragraph" w:styleId="Footer">
    <w:name w:val="footer"/>
    <w:basedOn w:val="Normal"/>
    <w:link w:val="FooterChar"/>
    <w:uiPriority w:val="99"/>
    <w:unhideWhenUsed/>
    <w:rsid w:val="008A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2C"/>
  </w:style>
  <w:style w:type="table" w:styleId="TableGrid">
    <w:name w:val="Table Grid"/>
    <w:basedOn w:val="TableNormal"/>
    <w:uiPriority w:val="59"/>
    <w:rsid w:val="0033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swi.org/Portals/17/WPQC/Wisconsin%20Pharmacy%20Quality%20Collaborative%20Medication%20Therapy%20Management%20Services%20Program.pdf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swi.org/wpqc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llionhearts.hhs.gov/resources/teamuppressuredow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vdhhr.org/wvwisewoman/pdf_forms/ww_hsmm_agreement.pdf" TargetMode="External"/><Relationship Id="rId10" Type="http://schemas.openxmlformats.org/officeDocument/2006/relationships/hyperlink" Target="http://millionhearts.hhs.gov/index.html" TargetMode="External"/><Relationship Id="rId19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yperlink" Target="https://www.dhs.wisconsin.gov/publications/p009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4B40-75CC-4BC4-9CBA-92DA9162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Froedtert Health</Company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Rinka</dc:creator>
  <cp:lastModifiedBy>Megan Grant</cp:lastModifiedBy>
  <cp:revision>2</cp:revision>
  <cp:lastPrinted>2015-06-29T19:37:00Z</cp:lastPrinted>
  <dcterms:created xsi:type="dcterms:W3CDTF">2015-07-02T15:54:00Z</dcterms:created>
  <dcterms:modified xsi:type="dcterms:W3CDTF">2015-07-02T15:54:00Z</dcterms:modified>
</cp:coreProperties>
</file>